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28"/>
          <w:szCs w:val="28"/>
          <w:u w:val="single"/>
        </w:rPr>
      </w:pPr>
    </w:p>
    <w:p>
      <w:pPr>
        <w:spacing w:line="360" w:lineRule="auto"/>
        <w:jc w:val="center"/>
        <w:rPr>
          <w:rFonts w:ascii="宋体" w:hAnsi="宋体" w:cs="黑体"/>
          <w:b/>
          <w:sz w:val="28"/>
          <w:szCs w:val="28"/>
          <w:u w:val="single"/>
        </w:rPr>
      </w:pPr>
    </w:p>
    <w:p>
      <w:pPr>
        <w:spacing w:line="360" w:lineRule="auto"/>
        <w:jc w:val="center"/>
        <w:rPr>
          <w:rFonts w:ascii="宋体" w:hAnsi="宋体" w:cs="黑体"/>
          <w:b/>
          <w:sz w:val="44"/>
          <w:szCs w:val="44"/>
        </w:rPr>
      </w:pPr>
    </w:p>
    <w:p>
      <w:pPr>
        <w:spacing w:line="360" w:lineRule="auto"/>
        <w:jc w:val="center"/>
        <w:rPr>
          <w:rFonts w:ascii="宋体" w:hAnsi="宋体" w:cs="黑体"/>
          <w:b/>
          <w:sz w:val="44"/>
          <w:szCs w:val="44"/>
        </w:rPr>
      </w:pPr>
    </w:p>
    <w:p>
      <w:pPr>
        <w:spacing w:line="360" w:lineRule="auto"/>
        <w:jc w:val="center"/>
        <w:rPr>
          <w:rFonts w:ascii="宋体" w:hAnsi="宋体" w:cs="黑体"/>
          <w:b/>
          <w:sz w:val="44"/>
          <w:szCs w:val="44"/>
        </w:rPr>
      </w:pPr>
    </w:p>
    <w:p>
      <w:pPr>
        <w:spacing w:line="360" w:lineRule="auto"/>
        <w:jc w:val="center"/>
        <w:rPr>
          <w:rFonts w:ascii="宋体" w:hAnsi="宋体" w:cs="黑体"/>
          <w:b/>
          <w:sz w:val="44"/>
          <w:szCs w:val="44"/>
        </w:rPr>
      </w:pPr>
    </w:p>
    <w:p>
      <w:pPr>
        <w:spacing w:line="360" w:lineRule="auto"/>
        <w:jc w:val="center"/>
        <w:outlineLvl w:val="0"/>
        <w:rPr>
          <w:rFonts w:ascii="宋体" w:hAnsi="宋体" w:cs="黑体"/>
          <w:b/>
          <w:sz w:val="44"/>
          <w:szCs w:val="44"/>
        </w:rPr>
      </w:pPr>
      <w:bookmarkStart w:id="0" w:name="_Toc2556"/>
      <w:r>
        <w:rPr>
          <w:rFonts w:hint="eastAsia" w:ascii="宋体" w:hAnsi="宋体" w:cs="黑体"/>
          <w:b/>
          <w:sz w:val="44"/>
          <w:szCs w:val="44"/>
        </w:rPr>
        <w:t>南宁国际会展中心有限公司</w:t>
      </w:r>
      <w:bookmarkEnd w:id="0"/>
    </w:p>
    <w:p>
      <w:pPr>
        <w:spacing w:line="360" w:lineRule="auto"/>
        <w:jc w:val="center"/>
        <w:rPr>
          <w:rFonts w:ascii="宋体" w:hAnsi="宋体" w:cs="黑体"/>
          <w:b/>
          <w:sz w:val="44"/>
          <w:szCs w:val="44"/>
        </w:rPr>
      </w:pPr>
      <w:r>
        <w:rPr>
          <w:rFonts w:hint="eastAsia" w:ascii="宋体" w:hAnsi="宋体" w:cs="黑体"/>
          <w:b/>
          <w:sz w:val="44"/>
          <w:szCs w:val="44"/>
        </w:rPr>
        <w:t>房屋/场地租赁合同</w:t>
      </w:r>
    </w:p>
    <w:p>
      <w:pPr>
        <w:spacing w:line="360" w:lineRule="auto"/>
        <w:jc w:val="center"/>
        <w:rPr>
          <w:rFonts w:ascii="宋体" w:hAnsi="宋体" w:cs="黑体"/>
          <w:sz w:val="44"/>
          <w:szCs w:val="44"/>
        </w:rPr>
      </w:pPr>
    </w:p>
    <w:p>
      <w:pPr>
        <w:spacing w:line="360" w:lineRule="auto"/>
        <w:jc w:val="center"/>
        <w:rPr>
          <w:rFonts w:ascii="宋体" w:hAnsi="宋体" w:cs="黑体"/>
          <w:sz w:val="28"/>
          <w:szCs w:val="28"/>
        </w:rPr>
      </w:pPr>
      <w:r>
        <w:rPr>
          <w:rFonts w:hint="eastAsia" w:ascii="宋体" w:hAnsi="宋体" w:cs="黑体"/>
          <w:sz w:val="28"/>
          <w:szCs w:val="28"/>
        </w:rPr>
        <w:t>合同编号：</w:t>
      </w:r>
    </w:p>
    <w:p>
      <w:pPr>
        <w:spacing w:line="360" w:lineRule="auto"/>
        <w:jc w:val="left"/>
        <w:rPr>
          <w:rFonts w:ascii="宋体" w:hAnsi="宋体" w:cs="黑体"/>
          <w:sz w:val="28"/>
          <w:szCs w:val="28"/>
        </w:rPr>
      </w:pPr>
    </w:p>
    <w:p>
      <w:pPr>
        <w:spacing w:line="360" w:lineRule="auto"/>
        <w:jc w:val="left"/>
        <w:rPr>
          <w:rFonts w:ascii="宋体" w:hAnsi="宋体" w:cs="黑体"/>
          <w:sz w:val="28"/>
          <w:szCs w:val="28"/>
        </w:rPr>
      </w:pPr>
    </w:p>
    <w:p>
      <w:pPr>
        <w:spacing w:line="360" w:lineRule="auto"/>
        <w:jc w:val="left"/>
        <w:rPr>
          <w:rFonts w:ascii="宋体" w:hAnsi="宋体" w:cs="黑体"/>
          <w:sz w:val="28"/>
          <w:szCs w:val="28"/>
        </w:rPr>
      </w:pPr>
    </w:p>
    <w:p>
      <w:pPr>
        <w:spacing w:line="360" w:lineRule="auto"/>
        <w:jc w:val="center"/>
        <w:rPr>
          <w:rFonts w:ascii="宋体" w:hAnsi="宋体" w:cs="黑体"/>
          <w:sz w:val="28"/>
          <w:szCs w:val="28"/>
        </w:rPr>
      </w:pPr>
    </w:p>
    <w:p>
      <w:pPr>
        <w:spacing w:line="360" w:lineRule="auto"/>
        <w:jc w:val="center"/>
        <w:rPr>
          <w:rFonts w:ascii="宋体" w:hAnsi="宋体" w:cs="黑体"/>
          <w:sz w:val="28"/>
          <w:szCs w:val="28"/>
        </w:rPr>
      </w:pPr>
    </w:p>
    <w:p>
      <w:pPr>
        <w:spacing w:line="360" w:lineRule="auto"/>
        <w:jc w:val="center"/>
        <w:rPr>
          <w:rFonts w:ascii="宋体" w:hAnsi="宋体" w:cs="黑体"/>
          <w:sz w:val="28"/>
          <w:szCs w:val="28"/>
        </w:rPr>
      </w:pPr>
    </w:p>
    <w:p>
      <w:pPr>
        <w:spacing w:line="360" w:lineRule="auto"/>
        <w:jc w:val="center"/>
        <w:rPr>
          <w:rFonts w:ascii="宋体" w:hAnsi="宋体" w:cs="黑体"/>
          <w:sz w:val="28"/>
          <w:szCs w:val="28"/>
        </w:rPr>
      </w:pPr>
    </w:p>
    <w:p>
      <w:pPr>
        <w:spacing w:line="360" w:lineRule="auto"/>
        <w:ind w:firstLine="2100" w:firstLineChars="750"/>
        <w:rPr>
          <w:rFonts w:ascii="宋体" w:hAnsi="宋体" w:cs="黑体"/>
          <w:sz w:val="28"/>
          <w:szCs w:val="28"/>
        </w:rPr>
      </w:pPr>
    </w:p>
    <w:p>
      <w:pPr>
        <w:spacing w:line="360" w:lineRule="auto"/>
        <w:ind w:firstLine="1680" w:firstLineChars="600"/>
        <w:rPr>
          <w:rFonts w:ascii="宋体" w:hAnsi="宋体" w:cs="黑体"/>
          <w:sz w:val="28"/>
          <w:szCs w:val="28"/>
        </w:rPr>
      </w:pPr>
      <w:r>
        <w:rPr>
          <w:rFonts w:hint="eastAsia" w:ascii="宋体" w:hAnsi="宋体" w:cs="黑体"/>
          <w:sz w:val="28"/>
          <w:szCs w:val="28"/>
        </w:rPr>
        <w:t>出租方（甲方）：南宁国际会展中心有限公司</w:t>
      </w:r>
    </w:p>
    <w:p>
      <w:pPr>
        <w:spacing w:line="360" w:lineRule="auto"/>
        <w:ind w:firstLine="1680" w:firstLineChars="600"/>
        <w:rPr>
          <w:rFonts w:ascii="宋体" w:hAnsi="宋体" w:cs="黑体"/>
          <w:sz w:val="28"/>
          <w:szCs w:val="28"/>
          <w:u w:val="single"/>
        </w:rPr>
      </w:pPr>
      <w:r>
        <w:rPr>
          <w:rFonts w:hint="eastAsia" w:ascii="宋体" w:hAnsi="宋体" w:cs="黑体"/>
          <w:sz w:val="28"/>
          <w:szCs w:val="28"/>
        </w:rPr>
        <w:t>承租方（乙方）：</w:t>
      </w:r>
    </w:p>
    <w:p>
      <w:pPr>
        <w:spacing w:line="360" w:lineRule="auto"/>
        <w:jc w:val="left"/>
        <w:rPr>
          <w:rFonts w:ascii="宋体" w:hAnsi="宋体" w:cs="黑体"/>
          <w:sz w:val="28"/>
          <w:szCs w:val="28"/>
        </w:rPr>
      </w:pPr>
    </w:p>
    <w:p>
      <w:pPr>
        <w:spacing w:line="360" w:lineRule="auto"/>
        <w:ind w:left="697" w:hanging="697" w:hangingChars="249"/>
        <w:jc w:val="center"/>
        <w:rPr>
          <w:rFonts w:ascii="宋体" w:hAnsi="宋体" w:cs="黑体"/>
          <w:sz w:val="28"/>
          <w:szCs w:val="28"/>
        </w:rPr>
      </w:pPr>
    </w:p>
    <w:p>
      <w:pPr>
        <w:spacing w:before="240" w:line="360" w:lineRule="auto"/>
        <w:jc w:val="center"/>
        <w:outlineLvl w:val="0"/>
        <w:rPr>
          <w:rFonts w:hint="eastAsia" w:ascii="宋体" w:hAnsi="宋体" w:eastAsia="宋体"/>
          <w:b/>
          <w:bCs/>
          <w:sz w:val="36"/>
          <w:szCs w:val="36"/>
          <w:u w:val="single"/>
          <w:lang w:eastAsia="zh-CN"/>
        </w:rPr>
      </w:pPr>
      <w:bookmarkStart w:id="1" w:name="_Toc2139971994_WPSOffice_Level1"/>
      <w:bookmarkStart w:id="2" w:name="_Toc12604"/>
      <w:r>
        <w:rPr>
          <w:rFonts w:hint="eastAsia" w:ascii="宋体" w:hAnsi="宋体"/>
          <w:b/>
          <w:bCs/>
          <w:sz w:val="36"/>
          <w:szCs w:val="36"/>
        </w:rPr>
        <w:t>房屋</w:t>
      </w:r>
      <w:r>
        <w:rPr>
          <w:rFonts w:ascii="宋体" w:hAnsi="宋体"/>
          <w:b/>
          <w:bCs/>
          <w:sz w:val="36"/>
          <w:szCs w:val="36"/>
        </w:rPr>
        <w:t>/场地租赁</w:t>
      </w:r>
      <w:bookmarkEnd w:id="1"/>
      <w:r>
        <w:rPr>
          <w:rFonts w:hint="eastAsia" w:ascii="宋体" w:hAnsi="宋体"/>
          <w:b/>
          <w:bCs/>
          <w:sz w:val="36"/>
          <w:szCs w:val="36"/>
          <w:lang w:eastAsia="zh-CN"/>
        </w:rPr>
        <w:t>合同</w:t>
      </w:r>
      <w:bookmarkEnd w:id="2"/>
    </w:p>
    <w:p>
      <w:pPr>
        <w:spacing w:before="240" w:line="360" w:lineRule="auto"/>
        <w:outlineLvl w:val="0"/>
        <w:rPr>
          <w:rFonts w:ascii="宋体" w:hAnsi="宋体"/>
          <w:sz w:val="28"/>
          <w:szCs w:val="28"/>
        </w:rPr>
      </w:pPr>
      <w:bookmarkStart w:id="3" w:name="_Toc1147219613_WPSOffice_Level1"/>
      <w:bookmarkStart w:id="4" w:name="_Toc11190"/>
      <w:r>
        <w:rPr>
          <w:rFonts w:hint="eastAsia" w:ascii="宋体" w:hAnsi="宋体"/>
          <w:b/>
          <w:bCs/>
          <w:sz w:val="28"/>
          <w:szCs w:val="28"/>
        </w:rPr>
        <w:t>出租方（甲方）：</w:t>
      </w:r>
      <w:bookmarkEnd w:id="3"/>
      <w:r>
        <w:rPr>
          <w:rFonts w:hint="eastAsia" w:ascii="宋体" w:hAnsi="宋体"/>
          <w:sz w:val="28"/>
          <w:szCs w:val="28"/>
        </w:rPr>
        <w:t>南宁国际会展中心有限公司</w:t>
      </w:r>
      <w:bookmarkEnd w:id="4"/>
    </w:p>
    <w:p>
      <w:pPr>
        <w:spacing w:line="360" w:lineRule="auto"/>
        <w:rPr>
          <w:rFonts w:ascii="宋体" w:hAnsi="宋体"/>
          <w:sz w:val="28"/>
          <w:szCs w:val="28"/>
        </w:rPr>
      </w:pPr>
      <w:r>
        <w:rPr>
          <w:rFonts w:hint="eastAsia" w:ascii="宋体" w:hAnsi="宋体"/>
          <w:sz w:val="28"/>
          <w:szCs w:val="28"/>
        </w:rPr>
        <w:t>统一社会信用代码：91450000MA5NLT852D</w:t>
      </w:r>
    </w:p>
    <w:p>
      <w:pPr>
        <w:spacing w:line="360" w:lineRule="auto"/>
        <w:rPr>
          <w:rFonts w:ascii="宋体" w:hAnsi="宋体"/>
          <w:sz w:val="28"/>
          <w:szCs w:val="28"/>
        </w:rPr>
      </w:pPr>
      <w:r>
        <w:rPr>
          <w:rFonts w:hint="eastAsia" w:ascii="宋体" w:hAnsi="宋体"/>
          <w:sz w:val="28"/>
          <w:szCs w:val="28"/>
        </w:rPr>
        <w:t>通讯地址：南宁市民族大道106号C区行政综合楼321室</w:t>
      </w:r>
    </w:p>
    <w:p>
      <w:pPr>
        <w:spacing w:line="360" w:lineRule="auto"/>
        <w:rPr>
          <w:rFonts w:hint="eastAsia" w:ascii="宋体" w:hAnsi="宋体"/>
          <w:sz w:val="28"/>
          <w:szCs w:val="28"/>
        </w:rPr>
      </w:pPr>
      <w:r>
        <w:rPr>
          <w:rFonts w:hint="eastAsia" w:ascii="宋体" w:hAnsi="宋体"/>
          <w:sz w:val="28"/>
          <w:szCs w:val="28"/>
        </w:rPr>
        <w:t>法定代表人：</w:t>
      </w:r>
    </w:p>
    <w:p>
      <w:pPr>
        <w:spacing w:line="360" w:lineRule="auto"/>
        <w:rPr>
          <w:rFonts w:hint="eastAsia" w:ascii="宋体" w:hAnsi="宋体"/>
          <w:sz w:val="28"/>
          <w:szCs w:val="28"/>
        </w:rPr>
      </w:pPr>
      <w:r>
        <w:rPr>
          <w:rFonts w:hint="eastAsia" w:ascii="宋体" w:hAnsi="宋体"/>
          <w:sz w:val="28"/>
          <w:szCs w:val="28"/>
        </w:rPr>
        <w:t>甲方专用邮箱：nngjhzzx@163.com</w:t>
      </w:r>
    </w:p>
    <w:p>
      <w:pPr>
        <w:spacing w:line="360" w:lineRule="auto"/>
        <w:rPr>
          <w:rFonts w:hint="eastAsia" w:ascii="宋体" w:hAnsi="宋体"/>
          <w:sz w:val="28"/>
          <w:szCs w:val="28"/>
        </w:rPr>
      </w:pPr>
    </w:p>
    <w:p>
      <w:pPr>
        <w:spacing w:line="360" w:lineRule="auto"/>
        <w:rPr>
          <w:rFonts w:hint="eastAsia" w:ascii="宋体" w:hAnsi="宋体"/>
          <w:b/>
          <w:bCs/>
          <w:sz w:val="28"/>
          <w:szCs w:val="28"/>
        </w:rPr>
      </w:pPr>
      <w:bookmarkStart w:id="5" w:name="_Toc1211852925_WPSOffice_Level1"/>
      <w:r>
        <w:rPr>
          <w:rFonts w:hint="eastAsia" w:ascii="宋体" w:hAnsi="宋体"/>
          <w:b/>
          <w:bCs/>
          <w:sz w:val="28"/>
          <w:szCs w:val="28"/>
        </w:rPr>
        <w:t>承租方（乙方）：</w:t>
      </w:r>
      <w:bookmarkEnd w:id="5"/>
    </w:p>
    <w:p>
      <w:pPr>
        <w:spacing w:line="360" w:lineRule="auto"/>
        <w:rPr>
          <w:rFonts w:hint="eastAsia" w:ascii="宋体" w:hAnsi="宋体"/>
          <w:sz w:val="28"/>
          <w:szCs w:val="28"/>
        </w:rPr>
      </w:pPr>
      <w:r>
        <w:rPr>
          <w:rFonts w:hint="eastAsia" w:ascii="宋体" w:hAnsi="宋体"/>
          <w:sz w:val="28"/>
          <w:szCs w:val="28"/>
        </w:rPr>
        <w:t>统一社会信用代码：</w:t>
      </w:r>
    </w:p>
    <w:p>
      <w:pPr>
        <w:spacing w:line="360" w:lineRule="auto"/>
        <w:rPr>
          <w:rFonts w:hint="eastAsia" w:ascii="宋体" w:hAnsi="宋体"/>
          <w:sz w:val="28"/>
          <w:szCs w:val="28"/>
        </w:rPr>
      </w:pPr>
      <w:r>
        <w:rPr>
          <w:rFonts w:hint="eastAsia" w:ascii="宋体" w:hAnsi="宋体"/>
          <w:sz w:val="28"/>
          <w:szCs w:val="28"/>
        </w:rPr>
        <w:t>注册地址：</w:t>
      </w:r>
    </w:p>
    <w:p>
      <w:pPr>
        <w:spacing w:line="360" w:lineRule="auto"/>
        <w:rPr>
          <w:rFonts w:hint="eastAsia" w:ascii="宋体" w:hAnsi="宋体"/>
          <w:sz w:val="28"/>
          <w:szCs w:val="28"/>
        </w:rPr>
      </w:pPr>
      <w:r>
        <w:rPr>
          <w:rFonts w:hint="eastAsia" w:ascii="宋体" w:hAnsi="宋体"/>
          <w:sz w:val="28"/>
          <w:szCs w:val="28"/>
        </w:rPr>
        <w:t>通讯地址：</w:t>
      </w:r>
    </w:p>
    <w:p>
      <w:pPr>
        <w:spacing w:line="360" w:lineRule="auto"/>
        <w:rPr>
          <w:rFonts w:hint="eastAsia" w:ascii="宋体" w:hAnsi="宋体"/>
          <w:sz w:val="28"/>
          <w:szCs w:val="28"/>
        </w:rPr>
      </w:pPr>
      <w:r>
        <w:rPr>
          <w:rFonts w:hint="eastAsia" w:ascii="宋体" w:hAnsi="宋体"/>
          <w:sz w:val="28"/>
          <w:szCs w:val="28"/>
        </w:rPr>
        <w:t xml:space="preserve">法定代表人：     </w:t>
      </w:r>
      <w:r>
        <w:rPr>
          <w:rFonts w:hint="eastAsia" w:ascii="宋体" w:hAnsi="宋体"/>
          <w:sz w:val="28"/>
          <w:szCs w:val="28"/>
          <w:lang w:val="en-US" w:eastAsia="zh-CN"/>
        </w:rPr>
        <w:t xml:space="preserve">  </w:t>
      </w:r>
      <w:r>
        <w:rPr>
          <w:rFonts w:hint="eastAsia" w:ascii="宋体" w:hAnsi="宋体"/>
          <w:sz w:val="28"/>
          <w:szCs w:val="28"/>
        </w:rPr>
        <w:t>身份证号：</w:t>
      </w:r>
    </w:p>
    <w:p>
      <w:pPr>
        <w:spacing w:line="360" w:lineRule="auto"/>
        <w:rPr>
          <w:rFonts w:ascii="宋体" w:hAnsi="宋体"/>
          <w:sz w:val="28"/>
          <w:szCs w:val="28"/>
        </w:rPr>
      </w:pPr>
      <w:r>
        <w:rPr>
          <w:rFonts w:hint="eastAsia" w:ascii="宋体" w:hAnsi="宋体"/>
          <w:sz w:val="28"/>
          <w:szCs w:val="28"/>
        </w:rPr>
        <w:t>乙方专用邮箱：</w:t>
      </w:r>
    </w:p>
    <w:p>
      <w:pPr>
        <w:spacing w:before="240" w:line="360" w:lineRule="auto"/>
        <w:ind w:firstLine="560" w:firstLineChars="200"/>
        <w:rPr>
          <w:rFonts w:ascii="宋体" w:hAnsi="宋体"/>
          <w:sz w:val="28"/>
          <w:szCs w:val="28"/>
        </w:rPr>
      </w:pPr>
      <w:r>
        <w:rPr>
          <w:rFonts w:hint="eastAsia" w:ascii="宋体" w:hAnsi="宋体"/>
          <w:sz w:val="28"/>
          <w:szCs w:val="28"/>
          <w:lang w:val="en-US" w:eastAsia="zh-CN"/>
        </w:rPr>
        <w:t>鉴于租赁场地为中国-东盟博览会和中国-东盟商务与投资峰会的唯一指定场地，</w:t>
      </w:r>
      <w:r>
        <w:rPr>
          <w:rFonts w:hint="eastAsia" w:ascii="宋体" w:hAnsi="宋体"/>
          <w:sz w:val="28"/>
          <w:szCs w:val="28"/>
        </w:rPr>
        <w:t>根据《中华人民共和国民法典》及相关法律、法规的规定，甲方与乙方本着平等自愿的原则协商一致，就乙方直接向甲方承租南宁国际会展中心</w:t>
      </w:r>
      <w:r>
        <w:rPr>
          <w:rFonts w:hint="eastAsia" w:ascii="宋体" w:hAnsi="宋体"/>
          <w:sz w:val="28"/>
          <w:szCs w:val="28"/>
          <w:u w:val="single"/>
          <w:lang w:val="en-US" w:eastAsia="zh-CN"/>
        </w:rPr>
        <w:t xml:space="preserve"> （具体地址房号） </w:t>
      </w:r>
      <w:r>
        <w:rPr>
          <w:rFonts w:hint="eastAsia" w:ascii="宋体" w:hAnsi="宋体"/>
          <w:sz w:val="28"/>
          <w:szCs w:val="28"/>
        </w:rPr>
        <w:t>的相关事宜，达成本</w:t>
      </w:r>
      <w:r>
        <w:rPr>
          <w:rFonts w:hint="eastAsia" w:ascii="宋体" w:hAnsi="宋体"/>
          <w:sz w:val="28"/>
          <w:szCs w:val="28"/>
          <w:lang w:eastAsia="zh-CN"/>
        </w:rPr>
        <w:t>合同</w:t>
      </w:r>
      <w:r>
        <w:rPr>
          <w:rFonts w:hint="eastAsia" w:ascii="宋体" w:hAnsi="宋体"/>
          <w:sz w:val="28"/>
          <w:szCs w:val="28"/>
        </w:rPr>
        <w:t>，供双方遵守执行。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注：本</w:t>
      </w:r>
      <w:r>
        <w:rPr>
          <w:rFonts w:hint="eastAsia" w:ascii="宋体" w:hAnsi="宋体"/>
          <w:sz w:val="28"/>
          <w:szCs w:val="28"/>
          <w:lang w:eastAsia="zh-CN"/>
        </w:rPr>
        <w:t>合同</w:t>
      </w:r>
      <w:r>
        <w:rPr>
          <w:rFonts w:hint="eastAsia" w:ascii="宋体" w:hAnsi="宋体"/>
          <w:sz w:val="28"/>
          <w:szCs w:val="28"/>
        </w:rPr>
        <w:t>币种为人民币。</w:t>
      </w:r>
    </w:p>
    <w:p>
      <w:pPr>
        <w:pStyle w:val="10"/>
        <w:spacing w:line="360" w:lineRule="auto"/>
      </w:pPr>
      <w:bookmarkStart w:id="6" w:name="_Toc83568826"/>
      <w:bookmarkStart w:id="7" w:name="_Toc24072"/>
      <w:bookmarkStart w:id="8" w:name="_Toc1695955026"/>
      <w:r>
        <w:rPr>
          <w:rFonts w:hint="eastAsia"/>
        </w:rPr>
        <w:t>租赁场地的基本情况</w:t>
      </w:r>
      <w:bookmarkEnd w:id="6"/>
      <w:bookmarkEnd w:id="7"/>
      <w:bookmarkEnd w:id="8"/>
    </w:p>
    <w:p>
      <w:pPr>
        <w:pStyle w:val="12"/>
        <w:spacing w:line="360" w:lineRule="auto"/>
        <w:ind w:left="-140" w:firstLineChars="0"/>
      </w:pPr>
      <w:r>
        <w:rPr>
          <w:rFonts w:hint="eastAsia"/>
        </w:rPr>
        <w:t>本</w:t>
      </w:r>
      <w:r>
        <w:rPr>
          <w:rFonts w:hint="eastAsia"/>
          <w:lang w:eastAsia="zh-CN"/>
        </w:rPr>
        <w:t>合同</w:t>
      </w:r>
      <w:r>
        <w:rPr>
          <w:rFonts w:hint="eastAsia"/>
        </w:rPr>
        <w:t>项下，甲方将位于南宁市</w:t>
      </w:r>
      <w:r>
        <w:rPr>
          <w:rFonts w:hint="eastAsia" w:ascii="宋体" w:hAnsi="宋体"/>
        </w:rPr>
        <w:t>青秀区</w:t>
      </w:r>
      <w:r>
        <w:rPr>
          <w:rFonts w:hint="eastAsia"/>
        </w:rPr>
        <w:t>民族大道</w:t>
      </w:r>
      <w:r>
        <w:t>106</w:t>
      </w:r>
      <w:r>
        <w:rPr>
          <w:rFonts w:hint="eastAsia"/>
        </w:rPr>
        <w:t>号南宁国际会展中心</w:t>
      </w:r>
      <w:r>
        <w:rPr>
          <w:rFonts w:hint="eastAsia"/>
          <w:highlight w:val="none"/>
          <w:u w:val="single"/>
          <w:lang w:val="en-US" w:eastAsia="zh-CN"/>
        </w:rPr>
        <w:t xml:space="preserve">     </w:t>
      </w:r>
      <w:r>
        <w:rPr>
          <w:rFonts w:hint="eastAsia"/>
          <w:highlight w:val="none"/>
          <w:u w:val="none"/>
        </w:rPr>
        <w:t>商铺</w:t>
      </w:r>
      <w:r>
        <w:rPr>
          <w:rFonts w:hint="eastAsia"/>
        </w:rPr>
        <w:t>租赁给乙方使用，具体位置详见本</w:t>
      </w:r>
      <w:r>
        <w:rPr>
          <w:rFonts w:hint="eastAsia"/>
          <w:lang w:eastAsia="zh-CN"/>
        </w:rPr>
        <w:t>合同</w:t>
      </w:r>
      <w:r>
        <w:rPr>
          <w:rFonts w:hint="eastAsia"/>
        </w:rPr>
        <w:t>附件一《租赁场地平面图》中标出的范围。</w:t>
      </w:r>
    </w:p>
    <w:p>
      <w:pPr>
        <w:pStyle w:val="12"/>
        <w:spacing w:line="360" w:lineRule="auto"/>
        <w:ind w:left="-140" w:firstLineChars="0"/>
      </w:pPr>
      <w:r>
        <w:rPr>
          <w:rFonts w:hint="eastAsia"/>
        </w:rPr>
        <w:t>经双方共同确认</w:t>
      </w:r>
      <w:r>
        <w:rPr>
          <w:rFonts w:hint="eastAsia"/>
          <w:highlight w:val="none"/>
        </w:rPr>
        <w:t>，</w:t>
      </w:r>
      <w:r>
        <w:rPr>
          <w:rFonts w:hint="eastAsia"/>
          <w:highlight w:val="none"/>
          <w:u w:val="single"/>
          <w:lang w:val="en-US" w:eastAsia="zh-CN"/>
        </w:rPr>
        <w:t xml:space="preserve">  </w:t>
      </w:r>
      <w:r>
        <w:rPr>
          <w:rFonts w:hint="eastAsia"/>
          <w:highlight w:val="none"/>
          <w:lang w:val="en-US" w:eastAsia="zh-CN"/>
        </w:rPr>
        <w:t>间</w:t>
      </w:r>
      <w:r>
        <w:rPr>
          <w:rFonts w:hint="eastAsia"/>
          <w:highlight w:val="none"/>
          <w:u w:val="none"/>
        </w:rPr>
        <w:t>商铺</w:t>
      </w:r>
      <w:r>
        <w:rPr>
          <w:rFonts w:hint="eastAsia"/>
          <w:highlight w:val="none"/>
        </w:rPr>
        <w:t>计租面积共</w:t>
      </w:r>
      <w:r>
        <w:rPr>
          <w:rFonts w:hint="eastAsia"/>
          <w:highlight w:val="none"/>
          <w:u w:val="single"/>
          <w:lang w:val="en-US" w:eastAsia="zh-CN"/>
        </w:rPr>
        <w:t xml:space="preserve">12080.31 </w:t>
      </w:r>
      <w:r>
        <w:rPr>
          <w:rFonts w:hint="eastAsia"/>
          <w:highlight w:val="none"/>
        </w:rPr>
        <w:t>平方米（</w:t>
      </w:r>
      <w:r>
        <w:rPr>
          <w:rFonts w:hint="eastAsia"/>
        </w:rPr>
        <w:t>结算按实际租赁面积计算）。</w:t>
      </w:r>
    </w:p>
    <w:p>
      <w:pPr>
        <w:pStyle w:val="12"/>
        <w:spacing w:line="360" w:lineRule="auto"/>
        <w:ind w:left="-140" w:firstLineChars="0"/>
      </w:pPr>
      <w:r>
        <w:rPr>
          <w:rFonts w:hint="eastAsia"/>
        </w:rPr>
        <w:t>除非特别说明，本</w:t>
      </w:r>
      <w:r>
        <w:rPr>
          <w:rFonts w:hint="eastAsia"/>
          <w:lang w:eastAsia="zh-CN"/>
        </w:rPr>
        <w:t>合同</w:t>
      </w:r>
      <w:r>
        <w:rPr>
          <w:rFonts w:hint="eastAsia"/>
        </w:rPr>
        <w:t>中所称的面积均指建筑面积。</w:t>
      </w:r>
    </w:p>
    <w:p>
      <w:pPr>
        <w:pStyle w:val="10"/>
        <w:spacing w:line="360" w:lineRule="auto"/>
      </w:pPr>
      <w:bookmarkStart w:id="9" w:name="_Toc365675351"/>
      <w:bookmarkStart w:id="10" w:name="_Toc83568827"/>
      <w:bookmarkStart w:id="11" w:name="_Toc19067"/>
      <w:r>
        <w:rPr>
          <w:rFonts w:hint="eastAsia"/>
        </w:rPr>
        <w:t>租赁期限</w:t>
      </w:r>
      <w:bookmarkEnd w:id="9"/>
      <w:bookmarkEnd w:id="10"/>
      <w:bookmarkEnd w:id="11"/>
    </w:p>
    <w:p>
      <w:pPr>
        <w:pStyle w:val="12"/>
        <w:spacing w:line="360" w:lineRule="auto"/>
        <w:ind w:left="-140" w:firstLineChars="0"/>
      </w:pPr>
      <w:r>
        <w:rPr>
          <w:rFonts w:hint="eastAsia"/>
        </w:rPr>
        <w:t>本</w:t>
      </w:r>
      <w:r>
        <w:rPr>
          <w:rFonts w:hint="eastAsia"/>
          <w:lang w:eastAsia="zh-CN"/>
        </w:rPr>
        <w:t>合同</w:t>
      </w:r>
      <w:r>
        <w:rPr>
          <w:rFonts w:hint="eastAsia"/>
        </w:rPr>
        <w:t>项下租赁期限</w:t>
      </w:r>
      <w:bookmarkStart w:id="12" w:name="_Hlk9354294"/>
      <w:r>
        <w:rPr>
          <w:rFonts w:hint="eastAsia"/>
        </w:rPr>
        <w:t>自</w:t>
      </w:r>
      <w:r>
        <w:rPr>
          <w:rFonts w:hint="eastAsia"/>
          <w:u w:val="single"/>
          <w:lang w:val="en-US" w:eastAsia="zh-CN"/>
        </w:rPr>
        <w:t xml:space="preserve">   </w:t>
      </w:r>
      <w:r>
        <w:rPr>
          <w:rFonts w:hint="eastAsia"/>
          <w:highlight w:val="none"/>
          <w:u w:val="none"/>
        </w:rPr>
        <w:t>年</w:t>
      </w:r>
      <w:r>
        <w:rPr>
          <w:rFonts w:hint="eastAsia"/>
          <w:highlight w:val="none"/>
          <w:u w:val="single"/>
          <w:lang w:val="en-US" w:eastAsia="zh-CN"/>
        </w:rPr>
        <w:t xml:space="preserve">  </w:t>
      </w:r>
      <w:r>
        <w:rPr>
          <w:rFonts w:hint="eastAsia"/>
          <w:highlight w:val="none"/>
          <w:u w:val="none"/>
        </w:rPr>
        <w:t>月</w:t>
      </w:r>
      <w:r>
        <w:rPr>
          <w:rFonts w:hint="eastAsia"/>
          <w:highlight w:val="none"/>
          <w:u w:val="single"/>
          <w:lang w:val="en-US" w:eastAsia="zh-CN"/>
        </w:rPr>
        <w:t xml:space="preserve">  </w:t>
      </w:r>
      <w:r>
        <w:rPr>
          <w:rFonts w:hint="eastAsia"/>
          <w:highlight w:val="none"/>
          <w:u w:val="none"/>
        </w:rPr>
        <w:t>日</w:t>
      </w:r>
      <w:r>
        <w:rPr>
          <w:rFonts w:hint="eastAsia"/>
          <w:highlight w:val="none"/>
        </w:rPr>
        <w:t>起至</w:t>
      </w:r>
      <w:bookmarkEnd w:id="12"/>
      <w:r>
        <w:rPr>
          <w:rFonts w:hint="eastAsia"/>
          <w:highlight w:val="none"/>
          <w:u w:val="single"/>
          <w:lang w:val="en-US" w:eastAsia="zh-CN"/>
        </w:rPr>
        <w:t xml:space="preserve">   </w:t>
      </w:r>
      <w:r>
        <w:rPr>
          <w:rFonts w:hint="eastAsia"/>
          <w:highlight w:val="none"/>
          <w:lang w:val="en-US" w:eastAsia="zh-CN"/>
        </w:rPr>
        <w:t>年</w:t>
      </w:r>
      <w:r>
        <w:rPr>
          <w:rFonts w:hint="eastAsia"/>
          <w:highlight w:val="none"/>
          <w:u w:val="single"/>
          <w:lang w:val="en-US" w:eastAsia="zh-CN"/>
        </w:rPr>
        <w:t xml:space="preserve">  </w:t>
      </w:r>
      <w:r>
        <w:rPr>
          <w:rFonts w:hint="eastAsia"/>
          <w:highlight w:val="none"/>
          <w:u w:val="none"/>
        </w:rPr>
        <w:t>月</w:t>
      </w:r>
      <w:r>
        <w:rPr>
          <w:rFonts w:hint="eastAsia"/>
          <w:highlight w:val="none"/>
          <w:u w:val="single"/>
          <w:lang w:val="en-US" w:eastAsia="zh-CN"/>
        </w:rPr>
        <w:t xml:space="preserve">  </w:t>
      </w:r>
      <w:r>
        <w:rPr>
          <w:rFonts w:hint="eastAsia"/>
          <w:highlight w:val="none"/>
          <w:u w:val="none"/>
        </w:rPr>
        <w:t>日</w:t>
      </w:r>
      <w:r>
        <w:rPr>
          <w:rFonts w:hint="eastAsia"/>
          <w:highlight w:val="none"/>
        </w:rPr>
        <w:t>止</w:t>
      </w:r>
      <w:r>
        <w:rPr>
          <w:rFonts w:hint="eastAsia"/>
          <w:sz w:val="28"/>
          <w:szCs w:val="28"/>
        </w:rPr>
        <w:t>。装修免租期</w:t>
      </w:r>
      <w:r>
        <w:rPr>
          <w:rFonts w:hint="eastAsia"/>
          <w:sz w:val="28"/>
          <w:szCs w:val="28"/>
          <w:u w:val="single"/>
        </w:rPr>
        <w:t xml:space="preserve">   </w:t>
      </w:r>
      <w:r>
        <w:rPr>
          <w:rFonts w:hint="eastAsia"/>
          <w:sz w:val="28"/>
          <w:szCs w:val="28"/>
        </w:rPr>
        <w:t>天，即</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日至</w:t>
      </w:r>
      <w:r>
        <w:rPr>
          <w:rFonts w:hint="eastAsia"/>
          <w:sz w:val="28"/>
          <w:szCs w:val="28"/>
          <w:u w:val="single"/>
        </w:rPr>
        <w:t xml:space="preserve">   </w:t>
      </w:r>
      <w:r>
        <w:rPr>
          <w:rFonts w:hint="eastAsia"/>
          <w:sz w:val="28"/>
          <w:szCs w:val="28"/>
        </w:rPr>
        <w:t>年    月</w:t>
      </w:r>
      <w:r>
        <w:rPr>
          <w:rFonts w:hint="eastAsia"/>
          <w:sz w:val="28"/>
          <w:szCs w:val="28"/>
          <w:u w:val="single"/>
        </w:rPr>
        <w:t xml:space="preserve">  </w:t>
      </w:r>
      <w:r>
        <w:rPr>
          <w:rFonts w:hint="eastAsia"/>
          <w:sz w:val="28"/>
          <w:szCs w:val="28"/>
        </w:rPr>
        <w:t>日，装修期免租金</w:t>
      </w:r>
      <w:r>
        <w:rPr>
          <w:rFonts w:hint="eastAsia"/>
          <w:sz w:val="28"/>
          <w:szCs w:val="28"/>
          <w:lang w:eastAsia="zh-CN"/>
        </w:rPr>
        <w:t>（</w:t>
      </w:r>
      <w:r>
        <w:rPr>
          <w:rFonts w:hint="eastAsia"/>
          <w:sz w:val="28"/>
          <w:szCs w:val="28"/>
          <w:lang w:val="en-US" w:eastAsia="zh-CN"/>
        </w:rPr>
        <w:t>不免物业费</w:t>
      </w:r>
      <w:r>
        <w:rPr>
          <w:rFonts w:hint="eastAsia"/>
          <w:sz w:val="28"/>
          <w:szCs w:val="28"/>
          <w:lang w:eastAsia="zh-CN"/>
        </w:rPr>
        <w:t>）</w:t>
      </w:r>
      <w:r>
        <w:rPr>
          <w:rFonts w:hint="eastAsia"/>
          <w:sz w:val="28"/>
          <w:szCs w:val="28"/>
        </w:rPr>
        <w:t>，</w:t>
      </w:r>
      <w:r>
        <w:rPr>
          <w:rFonts w:hint="eastAsia"/>
          <w:sz w:val="28"/>
          <w:szCs w:val="28"/>
          <w:lang w:val="en-US" w:eastAsia="zh-CN"/>
        </w:rPr>
        <w:t>即</w:t>
      </w:r>
      <w:r>
        <w:rPr>
          <w:rFonts w:hint="eastAsia"/>
          <w:sz w:val="28"/>
          <w:szCs w:val="28"/>
        </w:rPr>
        <w:t>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日开始计收租金。</w:t>
      </w:r>
    </w:p>
    <w:p>
      <w:pPr>
        <w:pStyle w:val="12"/>
        <w:spacing w:line="360" w:lineRule="auto"/>
        <w:ind w:left="-140" w:firstLineChars="0"/>
      </w:pPr>
      <w:r>
        <w:rPr>
          <w:rFonts w:hint="eastAsia"/>
          <w:lang w:val="en-US" w:eastAsia="zh-CN"/>
        </w:rPr>
        <w:t>租赁期限内，</w:t>
      </w:r>
      <w:r>
        <w:rPr>
          <w:rFonts w:hint="eastAsia"/>
        </w:rPr>
        <w:t>如遇甲方承接展会需占用乙方所租场地或乙方所租场地被划入展会安检封控区内，使乙方无法正常使用的，甲方应提前</w:t>
      </w:r>
      <w:r>
        <w:rPr>
          <w:rFonts w:hint="eastAsia"/>
          <w:u w:val="single"/>
          <w:lang w:val="en-US" w:eastAsia="zh-CN"/>
        </w:rPr>
        <w:t xml:space="preserve"> 7 </w:t>
      </w:r>
      <w:r>
        <w:rPr>
          <w:rFonts w:hint="eastAsia"/>
        </w:rPr>
        <w:t>天（政府活动除外）通知乙方。乙方在收到甲方通知后</w:t>
      </w:r>
      <w:r>
        <w:rPr>
          <w:rFonts w:hint="eastAsia"/>
          <w:lang w:val="en-US" w:eastAsia="zh-CN"/>
        </w:rPr>
        <w:t>须</w:t>
      </w:r>
      <w:r>
        <w:rPr>
          <w:rFonts w:hint="eastAsia"/>
        </w:rPr>
        <w:t>无条件提供场地，甲方将按照占用或封控场地的实际天数，相应减免乙方的租金及其他相关费用。乙方在东博会期间，需根据展会需要，</w:t>
      </w:r>
      <w:r>
        <w:rPr>
          <w:rFonts w:hint="eastAsia"/>
          <w:lang w:val="en-US" w:eastAsia="zh-CN"/>
        </w:rPr>
        <w:t>无条件</w:t>
      </w:r>
      <w:r>
        <w:rPr>
          <w:rFonts w:hint="eastAsia"/>
        </w:rPr>
        <w:t>服从</w:t>
      </w:r>
      <w:r>
        <w:rPr>
          <w:rFonts w:hint="eastAsia"/>
          <w:lang w:val="en-US" w:eastAsia="zh-CN"/>
        </w:rPr>
        <w:t>场地</w:t>
      </w:r>
      <w:r>
        <w:rPr>
          <w:rFonts w:hint="eastAsia"/>
        </w:rPr>
        <w:t>管理。占用或封控场地的实际天数双方及时进行书面确认，作为减免乙方租金及其他相关费用的依据。</w:t>
      </w:r>
    </w:p>
    <w:p>
      <w:pPr>
        <w:pStyle w:val="10"/>
        <w:spacing w:line="360" w:lineRule="auto"/>
      </w:pPr>
      <w:bookmarkStart w:id="13" w:name="_Toc216"/>
      <w:bookmarkStart w:id="14" w:name="_Toc1954910190"/>
      <w:bookmarkStart w:id="15" w:name="_Toc83568828"/>
      <w:r>
        <w:rPr>
          <w:rFonts w:hint="eastAsia"/>
        </w:rPr>
        <w:t>租赁</w:t>
      </w:r>
      <w:r>
        <w:rPr>
          <w:rFonts w:hint="eastAsia"/>
          <w:lang w:val="en-US" w:eastAsia="zh-CN"/>
        </w:rPr>
        <w:t>场地的交付</w:t>
      </w:r>
      <w:bookmarkEnd w:id="13"/>
    </w:p>
    <w:p>
      <w:pPr>
        <w:pStyle w:val="12"/>
        <w:spacing w:line="360" w:lineRule="auto"/>
        <w:ind w:left="-140" w:firstLineChars="0"/>
      </w:pPr>
      <w:r>
        <w:rPr>
          <w:rFonts w:hint="eastAsia"/>
        </w:rPr>
        <w:t>乙方应于本</w:t>
      </w:r>
      <w:r>
        <w:rPr>
          <w:rFonts w:hint="eastAsia"/>
          <w:lang w:eastAsia="zh-CN"/>
        </w:rPr>
        <w:t>合同</w:t>
      </w:r>
      <w:r>
        <w:rPr>
          <w:rFonts w:hint="eastAsia"/>
        </w:rPr>
        <w:t>签订后5个工作日内办理租赁场地的书面交接手续，乙方无故不按期办理交接手续超过30天的，甲方有权解除本</w:t>
      </w:r>
      <w:r>
        <w:rPr>
          <w:rFonts w:hint="eastAsia"/>
          <w:lang w:eastAsia="zh-CN"/>
        </w:rPr>
        <w:t>合同</w:t>
      </w:r>
      <w:r>
        <w:rPr>
          <w:rFonts w:hint="eastAsia"/>
        </w:rPr>
        <w:t>，另行处置租赁场地。甲乙双方办妥租赁场地交接手续后，场地由乙方接管。</w:t>
      </w:r>
    </w:p>
    <w:p>
      <w:pPr>
        <w:pStyle w:val="12"/>
        <w:spacing w:line="360" w:lineRule="auto"/>
        <w:ind w:left="-140" w:firstLineChars="0"/>
      </w:pPr>
      <w:r>
        <w:rPr>
          <w:rFonts w:hint="eastAsia"/>
        </w:rPr>
        <w:t>如乙方对租赁场地的适租条件有异议，应当在移交场地前通过书面形式提出。双方完成租赁场地的移交后，视为乙方确认租赁场地已符合适租条件。</w:t>
      </w:r>
    </w:p>
    <w:p>
      <w:pPr>
        <w:pStyle w:val="10"/>
        <w:spacing w:line="360" w:lineRule="auto"/>
      </w:pPr>
      <w:bookmarkStart w:id="16" w:name="_Toc6352"/>
      <w:r>
        <w:rPr>
          <w:rFonts w:hint="eastAsia"/>
          <w:lang w:val="en-US" w:eastAsia="zh-CN"/>
        </w:rPr>
        <w:t>租赁场地的</w:t>
      </w:r>
      <w:r>
        <w:rPr>
          <w:rFonts w:hint="eastAsia"/>
        </w:rPr>
        <w:t>用途</w:t>
      </w:r>
      <w:bookmarkEnd w:id="14"/>
      <w:bookmarkEnd w:id="16"/>
    </w:p>
    <w:p>
      <w:pPr>
        <w:pStyle w:val="12"/>
        <w:spacing w:line="360" w:lineRule="auto"/>
        <w:ind w:left="-140" w:firstLineChars="0"/>
        <w:rPr>
          <w:color w:val="auto"/>
        </w:rPr>
      </w:pPr>
      <w:r>
        <w:rPr>
          <w:rFonts w:hint="eastAsia"/>
        </w:rPr>
        <w:t>乙方的租赁</w:t>
      </w:r>
      <w:r>
        <w:rPr>
          <w:rFonts w:hint="eastAsia"/>
          <w:color w:val="auto"/>
        </w:rPr>
        <w:t>用途仅限于经营甲方许可范围内的</w:t>
      </w:r>
      <w:r>
        <w:rPr>
          <w:rFonts w:hint="eastAsia"/>
          <w:color w:val="auto"/>
          <w:u w:val="single"/>
          <w:lang w:val="en-US" w:eastAsia="zh-CN"/>
        </w:rPr>
        <w:t xml:space="preserve">  </w:t>
      </w:r>
      <w:r>
        <w:rPr>
          <w:rFonts w:hint="eastAsia"/>
          <w:color w:val="auto"/>
          <w:highlight w:val="none"/>
          <w:u w:val="single"/>
          <w:lang w:val="en-US" w:eastAsia="zh-CN"/>
        </w:rPr>
        <w:t xml:space="preserve"> </w:t>
      </w:r>
      <w:r>
        <w:rPr>
          <w:rFonts w:hint="eastAsia"/>
          <w:color w:val="auto"/>
          <w:highlight w:val="none"/>
          <w:u w:val="none"/>
        </w:rPr>
        <w:t>等合法经营，</w:t>
      </w:r>
      <w:r>
        <w:rPr>
          <w:rFonts w:hint="eastAsia"/>
          <w:color w:val="auto"/>
        </w:rPr>
        <w:t>乙方自主经营，自负盈亏，如需变更租赁用途，须提前</w:t>
      </w:r>
      <w:r>
        <w:rPr>
          <w:color w:val="auto"/>
        </w:rPr>
        <w:t>30</w:t>
      </w:r>
      <w:r>
        <w:rPr>
          <w:rFonts w:hint="eastAsia"/>
          <w:color w:val="auto"/>
        </w:rPr>
        <w:t>日以书面形式向甲方提出申请，甲方有权拒绝乙方提出的申请。</w:t>
      </w:r>
      <w:r>
        <w:rPr>
          <w:rFonts w:hint="eastAsia"/>
          <w:color w:val="auto"/>
          <w:sz w:val="28"/>
          <w:szCs w:val="28"/>
        </w:rPr>
        <w:t>如乙方擅自改变用途，应按本</w:t>
      </w:r>
      <w:r>
        <w:rPr>
          <w:rFonts w:hint="eastAsia"/>
          <w:color w:val="auto"/>
          <w:sz w:val="28"/>
          <w:szCs w:val="28"/>
          <w:lang w:eastAsia="zh-CN"/>
        </w:rPr>
        <w:t>合同</w:t>
      </w:r>
      <w:r>
        <w:rPr>
          <w:rFonts w:hint="eastAsia"/>
          <w:color w:val="auto"/>
          <w:sz w:val="28"/>
          <w:szCs w:val="28"/>
        </w:rPr>
        <w:t>的违约责任条款支付一个月租金作为违约金并于</w:t>
      </w:r>
      <w:r>
        <w:rPr>
          <w:color w:val="auto"/>
          <w:sz w:val="28"/>
          <w:szCs w:val="28"/>
        </w:rPr>
        <w:t>3</w:t>
      </w:r>
      <w:r>
        <w:rPr>
          <w:rFonts w:hint="eastAsia"/>
          <w:color w:val="auto"/>
          <w:sz w:val="28"/>
          <w:szCs w:val="28"/>
        </w:rPr>
        <w:t>日内按照甲方要求恢复租赁用途，如逾期拒不恢复，甲方有权单方面解除本</w:t>
      </w:r>
      <w:r>
        <w:rPr>
          <w:rFonts w:hint="eastAsia"/>
          <w:color w:val="auto"/>
          <w:sz w:val="28"/>
          <w:szCs w:val="28"/>
          <w:lang w:eastAsia="zh-CN"/>
        </w:rPr>
        <w:t>合同</w:t>
      </w:r>
      <w:r>
        <w:rPr>
          <w:rFonts w:hint="eastAsia"/>
          <w:color w:val="auto"/>
          <w:sz w:val="28"/>
          <w:szCs w:val="28"/>
        </w:rPr>
        <w:t>。</w:t>
      </w:r>
    </w:p>
    <w:p>
      <w:pPr>
        <w:pStyle w:val="12"/>
        <w:spacing w:line="360" w:lineRule="auto"/>
        <w:ind w:left="-140" w:firstLineChars="0"/>
        <w:rPr>
          <w:u w:val="single"/>
        </w:rPr>
      </w:pPr>
      <w:r>
        <w:rPr>
          <w:rFonts w:hint="eastAsia"/>
          <w:color w:val="auto"/>
        </w:rPr>
        <w:t>乙方不可在租赁场地内</w:t>
      </w:r>
      <w:r>
        <w:rPr>
          <w:rFonts w:hint="eastAsia"/>
          <w:color w:val="auto"/>
          <w:u w:val="single"/>
        </w:rPr>
        <w:t>停放电动车或对电动车电瓶进行充电，每发现一起，乙方须向甲方缴纳违约金</w:t>
      </w:r>
      <w:r>
        <w:rPr>
          <w:rFonts w:hint="eastAsia"/>
          <w:color w:val="auto"/>
          <w:u w:val="single"/>
          <w:lang w:val="en-US" w:eastAsia="zh-CN"/>
        </w:rPr>
        <w:t>每次</w:t>
      </w:r>
      <w:r>
        <w:rPr>
          <w:rFonts w:hint="eastAsia"/>
          <w:color w:val="auto"/>
          <w:u w:val="single"/>
        </w:rPr>
        <w:t>500元</w:t>
      </w:r>
      <w:r>
        <w:rPr>
          <w:rFonts w:hint="eastAsia"/>
          <w:color w:val="auto"/>
          <w:u w:val="single"/>
          <w:lang w:val="en-US" w:eastAsia="zh-CN"/>
        </w:rPr>
        <w:t>/辆</w:t>
      </w:r>
      <w:r>
        <w:rPr>
          <w:rFonts w:hint="eastAsia"/>
          <w:color w:val="auto"/>
          <w:u w:val="single"/>
        </w:rPr>
        <w:t>，乙方拒绝缴纳的，</w:t>
      </w:r>
      <w:r>
        <w:rPr>
          <w:rFonts w:hint="eastAsia"/>
          <w:u w:val="single"/>
        </w:rPr>
        <w:t>甲方可以直接从乙方缴纳的履约保证金中扣除。</w:t>
      </w:r>
    </w:p>
    <w:p>
      <w:pPr>
        <w:pStyle w:val="12"/>
        <w:spacing w:line="360" w:lineRule="auto"/>
        <w:ind w:left="-140" w:firstLineChars="0"/>
      </w:pPr>
      <w:r>
        <w:rPr>
          <w:rFonts w:hint="eastAsia"/>
        </w:rPr>
        <w:t>实现租赁功能所需的建设、装修、用品、设施设备等均由乙方负责投资和安装。</w:t>
      </w:r>
    </w:p>
    <w:p>
      <w:pPr>
        <w:pStyle w:val="10"/>
        <w:spacing w:line="360" w:lineRule="auto"/>
      </w:pPr>
      <w:bookmarkStart w:id="17" w:name="_Toc1823247877"/>
      <w:bookmarkStart w:id="18" w:name="_Toc21804"/>
      <w:r>
        <w:rPr>
          <w:rFonts w:hint="eastAsia"/>
        </w:rPr>
        <w:t>租金、其他费用及支付方式</w:t>
      </w:r>
      <w:bookmarkEnd w:id="15"/>
      <w:bookmarkEnd w:id="17"/>
      <w:bookmarkEnd w:id="18"/>
    </w:p>
    <w:p>
      <w:pPr>
        <w:pStyle w:val="12"/>
        <w:spacing w:line="360" w:lineRule="auto"/>
        <w:ind w:left="-140" w:firstLineChars="0"/>
        <w:rPr>
          <w:rFonts w:hint="eastAsia"/>
          <w:sz w:val="28"/>
          <w:szCs w:val="28"/>
          <w:u w:val="single"/>
          <w:lang w:eastAsia="zh-CN"/>
        </w:rPr>
      </w:pPr>
      <w:r>
        <w:rPr>
          <w:rFonts w:hint="eastAsia"/>
          <w:sz w:val="28"/>
          <w:szCs w:val="28"/>
        </w:rPr>
        <w:t>租金：</w:t>
      </w:r>
      <w:r>
        <w:rPr>
          <w:rFonts w:hint="eastAsia"/>
          <w:sz w:val="28"/>
          <w:szCs w:val="28"/>
          <w:u w:val="single"/>
          <w:lang w:val="en-US" w:eastAsia="zh-CN"/>
        </w:rPr>
        <w:t xml:space="preserve">  </w:t>
      </w:r>
      <w:r>
        <w:rPr>
          <w:rFonts w:hint="eastAsia"/>
          <w:sz w:val="28"/>
          <w:szCs w:val="28"/>
          <w:u w:val="single"/>
        </w:rPr>
        <w:t>元/平方米/月</w:t>
      </w:r>
      <w:r>
        <w:rPr>
          <w:rFonts w:hint="eastAsia"/>
          <w:sz w:val="28"/>
          <w:szCs w:val="28"/>
        </w:rPr>
        <w:t>，月租金：</w:t>
      </w:r>
      <w:r>
        <w:rPr>
          <w:rFonts w:hint="eastAsia"/>
          <w:sz w:val="28"/>
          <w:szCs w:val="28"/>
          <w:u w:val="single"/>
          <w:lang w:val="en-US" w:eastAsia="zh-CN"/>
        </w:rPr>
        <w:t xml:space="preserve">   </w:t>
      </w:r>
      <w:r>
        <w:rPr>
          <w:rFonts w:hint="eastAsia"/>
          <w:sz w:val="28"/>
          <w:szCs w:val="28"/>
          <w:u w:val="single"/>
        </w:rPr>
        <w:t>元/月</w:t>
      </w:r>
      <w:r>
        <w:rPr>
          <w:rFonts w:hint="eastAsia"/>
          <w:sz w:val="28"/>
          <w:szCs w:val="28"/>
          <w:u w:val="single"/>
          <w:lang w:eastAsia="zh-CN"/>
        </w:rPr>
        <w:t>（</w:t>
      </w:r>
      <w:r>
        <w:rPr>
          <w:rFonts w:hint="eastAsia"/>
          <w:sz w:val="28"/>
          <w:szCs w:val="28"/>
          <w:u w:val="single"/>
          <w:lang w:val="en-US" w:eastAsia="zh-CN"/>
        </w:rPr>
        <w:t>日租金参照月租金</w:t>
      </w:r>
      <w:r>
        <w:rPr>
          <w:rFonts w:hint="default" w:ascii="Arial" w:hAnsi="Arial" w:cs="Arial"/>
          <w:sz w:val="28"/>
          <w:szCs w:val="28"/>
          <w:u w:val="single"/>
          <w:lang w:val="en-US" w:eastAsia="zh-CN"/>
        </w:rPr>
        <w:t>÷</w:t>
      </w:r>
      <w:r>
        <w:rPr>
          <w:rFonts w:hint="eastAsia"/>
          <w:sz w:val="28"/>
          <w:szCs w:val="28"/>
          <w:u w:val="single"/>
          <w:lang w:val="en-US" w:eastAsia="zh-CN"/>
        </w:rPr>
        <w:t>30天核算</w:t>
      </w:r>
      <w:r>
        <w:rPr>
          <w:rFonts w:hint="eastAsia"/>
          <w:sz w:val="28"/>
          <w:szCs w:val="28"/>
          <w:u w:val="single"/>
          <w:lang w:eastAsia="zh-CN"/>
        </w:rPr>
        <w:t>）</w:t>
      </w:r>
      <w:r>
        <w:rPr>
          <w:rFonts w:hint="eastAsia"/>
          <w:sz w:val="28"/>
          <w:szCs w:val="28"/>
          <w:highlight w:val="none"/>
          <w:u w:val="single"/>
          <w:lang w:eastAsia="zh-CN"/>
        </w:rPr>
        <w:t>。</w:t>
      </w:r>
      <w:r>
        <w:rPr>
          <w:rFonts w:hint="eastAsia"/>
        </w:rPr>
        <w:t>租金采用先支付后使用原则，按月支付，乙方应于本合同签订后5个工作日内足额支付首期租金（人民币）：</w:t>
      </w:r>
      <w:r>
        <w:rPr>
          <w:rFonts w:hint="eastAsia"/>
          <w:u w:val="single"/>
        </w:rPr>
        <w:t xml:space="preserve"> </w:t>
      </w:r>
      <w:r>
        <w:rPr>
          <w:rFonts w:hint="eastAsia"/>
        </w:rPr>
        <w:t>元（即自</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lang w:val="en-US" w:eastAsia="zh-CN"/>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日的租金，共计</w:t>
      </w:r>
      <w:r>
        <w:rPr>
          <w:rFonts w:hint="eastAsia"/>
          <w:u w:val="single"/>
        </w:rPr>
        <w:t xml:space="preserve"> </w:t>
      </w:r>
      <w:r>
        <w:rPr>
          <w:rFonts w:hint="eastAsia"/>
        </w:rPr>
        <w:t>天。此后，每月的租金应于每月</w:t>
      </w:r>
      <w:r>
        <w:rPr>
          <w:rFonts w:hint="eastAsia"/>
          <w:u w:val="single"/>
        </w:rPr>
        <w:t xml:space="preserve">  </w:t>
      </w:r>
      <w:r>
        <w:rPr>
          <w:rFonts w:hint="eastAsia"/>
        </w:rPr>
        <w:t>号前结清。</w:t>
      </w:r>
    </w:p>
    <w:p>
      <w:pPr>
        <w:rPr>
          <w:rFonts w:hint="eastAsia"/>
          <w:lang w:eastAsia="zh-CN"/>
        </w:rPr>
      </w:pPr>
    </w:p>
    <w:p>
      <w:pPr>
        <w:ind w:firstLine="0" w:firstLineChars="0"/>
        <w:rPr>
          <w:rFonts w:hint="default"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缴费计划表</w:t>
      </w:r>
      <w:r>
        <w:rPr>
          <w:rFonts w:hint="eastAsia" w:cs="Times New Roman"/>
          <w:sz w:val="28"/>
          <w:szCs w:val="28"/>
          <w:highlight w:val="none"/>
          <w:lang w:val="en-US" w:eastAsia="zh-CN"/>
        </w:rPr>
        <w:t>（如有需要，按需填写）：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缴费项目</w:t>
            </w:r>
          </w:p>
        </w:tc>
        <w:tc>
          <w:tcPr>
            <w:tcW w:w="2130" w:type="dxa"/>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缴费时间（最迟）</w:t>
            </w:r>
          </w:p>
        </w:tc>
        <w:tc>
          <w:tcPr>
            <w:tcW w:w="2131" w:type="dxa"/>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支付金额（元）</w:t>
            </w:r>
          </w:p>
        </w:tc>
        <w:tc>
          <w:tcPr>
            <w:tcW w:w="2131" w:type="dxa"/>
          </w:tcPr>
          <w:p>
            <w:pPr>
              <w:jc w:val="center"/>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履约保证金</w:t>
            </w:r>
          </w:p>
        </w:tc>
        <w:tc>
          <w:tcPr>
            <w:tcW w:w="2130" w:type="dxa"/>
            <w:vAlign w:val="center"/>
          </w:tcPr>
          <w:p>
            <w:pPr>
              <w:jc w:val="both"/>
              <w:rPr>
                <w:rFonts w:hint="default" w:ascii="Times New Roman" w:hAnsi="Times New Roman" w:eastAsia="宋体" w:cs="Times New Roman"/>
                <w:sz w:val="21"/>
                <w:szCs w:val="21"/>
                <w:vertAlign w:val="baseline"/>
                <w:lang w:val="en-US" w:eastAsia="zh-CN"/>
              </w:rPr>
            </w:pPr>
          </w:p>
        </w:tc>
        <w:tc>
          <w:tcPr>
            <w:tcW w:w="2131" w:type="dxa"/>
            <w:vAlign w:val="center"/>
          </w:tcPr>
          <w:p>
            <w:pPr>
              <w:jc w:val="center"/>
              <w:rPr>
                <w:rFonts w:hint="default" w:ascii="Times New Roman" w:hAnsi="Times New Roman" w:eastAsia="宋体" w:cs="Times New Roman"/>
                <w:sz w:val="21"/>
                <w:szCs w:val="21"/>
                <w:vertAlign w:val="baseline"/>
                <w:lang w:val="en-US" w:eastAsia="zh-CN"/>
              </w:rPr>
            </w:pPr>
          </w:p>
        </w:tc>
        <w:tc>
          <w:tcPr>
            <w:tcW w:w="2131" w:type="dxa"/>
          </w:tcPr>
          <w:p>
            <w:pPr>
              <w:jc w:val="center"/>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Times New Roman" w:hAnsi="Times New Roman" w:eastAsia="宋体" w:cs="Times New Roman"/>
                <w:sz w:val="21"/>
                <w:szCs w:val="21"/>
                <w:vertAlign w:val="baseline"/>
              </w:rPr>
            </w:pPr>
            <w:r>
              <w:rPr>
                <w:rFonts w:hint="eastAsia" w:cs="Times New Roman"/>
                <w:sz w:val="21"/>
                <w:szCs w:val="21"/>
                <w:vertAlign w:val="baseline"/>
                <w:lang w:val="en-US" w:eastAsia="zh-CN"/>
              </w:rPr>
              <w:t>第一年租期每</w:t>
            </w:r>
            <w:r>
              <w:rPr>
                <w:rFonts w:hint="eastAsia" w:ascii="Times New Roman" w:hAnsi="Times New Roman" w:eastAsia="宋体" w:cs="Times New Roman"/>
                <w:sz w:val="21"/>
                <w:szCs w:val="21"/>
                <w:vertAlign w:val="baseline"/>
                <w:lang w:val="en-US" w:eastAsia="zh-CN"/>
              </w:rPr>
              <w:t>月租金</w:t>
            </w:r>
          </w:p>
        </w:tc>
        <w:tc>
          <w:tcPr>
            <w:tcW w:w="2130" w:type="dxa"/>
          </w:tcPr>
          <w:p>
            <w:pPr>
              <w:jc w:val="left"/>
              <w:rPr>
                <w:rFonts w:hint="default" w:ascii="Times New Roman" w:hAnsi="Times New Roman" w:eastAsia="宋体" w:cs="Times New Roman"/>
                <w:sz w:val="21"/>
                <w:szCs w:val="21"/>
                <w:vertAlign w:val="baseline"/>
                <w:lang w:val="en-US"/>
              </w:rPr>
            </w:pPr>
          </w:p>
        </w:tc>
        <w:tc>
          <w:tcPr>
            <w:tcW w:w="2131" w:type="dxa"/>
            <w:vAlign w:val="center"/>
          </w:tcPr>
          <w:p>
            <w:pPr>
              <w:jc w:val="center"/>
              <w:rPr>
                <w:rFonts w:hint="default" w:ascii="Times New Roman" w:hAnsi="Times New Roman" w:eastAsia="宋体" w:cs="Times New Roman"/>
                <w:sz w:val="21"/>
                <w:szCs w:val="21"/>
                <w:vertAlign w:val="baseline"/>
              </w:rPr>
            </w:pPr>
          </w:p>
        </w:tc>
        <w:tc>
          <w:tcPr>
            <w:tcW w:w="2131" w:type="dxa"/>
          </w:tcPr>
          <w:p>
            <w:pPr>
              <w:jc w:val="center"/>
              <w:rPr>
                <w:rFonts w:hint="default" w:ascii="Times New Roman" w:hAnsi="Times New Roman" w:eastAsia="宋体" w:cs="Times New Roman"/>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第二年租期每</w:t>
            </w:r>
            <w:r>
              <w:rPr>
                <w:rFonts w:hint="eastAsia" w:ascii="Times New Roman" w:hAnsi="Times New Roman" w:eastAsia="宋体" w:cs="Times New Roman"/>
                <w:sz w:val="21"/>
                <w:szCs w:val="21"/>
                <w:vertAlign w:val="baseline"/>
                <w:lang w:val="en-US" w:eastAsia="zh-CN"/>
              </w:rPr>
              <w:t>月租金</w:t>
            </w:r>
          </w:p>
        </w:tc>
        <w:tc>
          <w:tcPr>
            <w:tcW w:w="2130" w:type="dxa"/>
          </w:tcPr>
          <w:p>
            <w:pPr>
              <w:jc w:val="left"/>
              <w:rPr>
                <w:rFonts w:hint="default" w:ascii="Times New Roman" w:hAnsi="Times New Roman" w:eastAsia="宋体" w:cs="Times New Roman"/>
                <w:sz w:val="21"/>
                <w:szCs w:val="21"/>
                <w:vertAlign w:val="baseline"/>
                <w:lang w:val="en-US" w:eastAsia="zh-CN"/>
              </w:rPr>
            </w:pPr>
          </w:p>
        </w:tc>
        <w:tc>
          <w:tcPr>
            <w:tcW w:w="2131" w:type="dxa"/>
            <w:vAlign w:val="center"/>
          </w:tcPr>
          <w:p>
            <w:pPr>
              <w:jc w:val="center"/>
              <w:rPr>
                <w:rFonts w:hint="default" w:ascii="Times New Roman" w:hAnsi="Times New Roman" w:eastAsia="宋体" w:cs="Times New Roman"/>
                <w:sz w:val="21"/>
                <w:szCs w:val="21"/>
                <w:vertAlign w:val="baseline"/>
                <w:lang w:val="en-US" w:eastAsia="zh-CN"/>
              </w:rPr>
            </w:pPr>
          </w:p>
        </w:tc>
        <w:tc>
          <w:tcPr>
            <w:tcW w:w="2131" w:type="dxa"/>
          </w:tcPr>
          <w:p>
            <w:pPr>
              <w:jc w:val="center"/>
              <w:rPr>
                <w:rFonts w:hint="eastAsia"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第三年租期每</w:t>
            </w:r>
            <w:r>
              <w:rPr>
                <w:rFonts w:hint="eastAsia" w:ascii="Times New Roman" w:hAnsi="Times New Roman" w:eastAsia="宋体" w:cs="Times New Roman"/>
                <w:sz w:val="21"/>
                <w:szCs w:val="21"/>
                <w:vertAlign w:val="baseline"/>
                <w:lang w:val="en-US" w:eastAsia="zh-CN"/>
              </w:rPr>
              <w:t>月租金</w:t>
            </w:r>
          </w:p>
        </w:tc>
        <w:tc>
          <w:tcPr>
            <w:tcW w:w="2130" w:type="dxa"/>
            <w:vAlign w:val="top"/>
          </w:tcPr>
          <w:p>
            <w:pPr>
              <w:jc w:val="left"/>
              <w:rPr>
                <w:rFonts w:hint="eastAsia" w:ascii="Times New Roman" w:hAnsi="Times New Roman" w:eastAsia="宋体" w:cs="Times New Roman"/>
                <w:sz w:val="21"/>
                <w:szCs w:val="21"/>
                <w:vertAlign w:val="baseline"/>
                <w:lang w:val="en-US" w:eastAsia="zh-CN"/>
              </w:rPr>
            </w:pPr>
          </w:p>
        </w:tc>
        <w:tc>
          <w:tcPr>
            <w:tcW w:w="2131" w:type="dxa"/>
            <w:vAlign w:val="center"/>
          </w:tcPr>
          <w:p>
            <w:pPr>
              <w:jc w:val="center"/>
              <w:rPr>
                <w:rFonts w:hint="eastAsia" w:ascii="Times New Roman" w:hAnsi="Times New Roman" w:eastAsia="宋体" w:cs="Times New Roman"/>
                <w:sz w:val="21"/>
                <w:szCs w:val="21"/>
                <w:vertAlign w:val="baseline"/>
                <w:lang w:val="en-US" w:eastAsia="zh-CN"/>
              </w:rPr>
            </w:pPr>
          </w:p>
        </w:tc>
        <w:tc>
          <w:tcPr>
            <w:tcW w:w="2131" w:type="dxa"/>
          </w:tcPr>
          <w:p>
            <w:pPr>
              <w:jc w:val="center"/>
              <w:rPr>
                <w:rFonts w:hint="eastAsia"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Times New Roman" w:hAnsi="Times New Roman" w:eastAsia="宋体" w:cs="Times New Roman"/>
                <w:sz w:val="21"/>
                <w:szCs w:val="21"/>
                <w:vertAlign w:val="baseline"/>
                <w:lang w:val="en-US" w:eastAsia="zh-CN"/>
              </w:rPr>
            </w:pPr>
          </w:p>
        </w:tc>
        <w:tc>
          <w:tcPr>
            <w:tcW w:w="2130" w:type="dxa"/>
            <w:vAlign w:val="top"/>
          </w:tcPr>
          <w:p>
            <w:pPr>
              <w:jc w:val="left"/>
              <w:rPr>
                <w:rFonts w:hint="default" w:ascii="Times New Roman" w:hAnsi="Times New Roman" w:eastAsia="宋体" w:cs="Times New Roman"/>
                <w:sz w:val="21"/>
                <w:szCs w:val="21"/>
                <w:vertAlign w:val="baseline"/>
                <w:lang w:val="en-US" w:eastAsia="zh-CN"/>
              </w:rPr>
            </w:pPr>
          </w:p>
        </w:tc>
        <w:tc>
          <w:tcPr>
            <w:tcW w:w="2131" w:type="dxa"/>
            <w:vAlign w:val="center"/>
          </w:tcPr>
          <w:p>
            <w:pPr>
              <w:jc w:val="center"/>
              <w:rPr>
                <w:rFonts w:hint="default" w:ascii="Times New Roman" w:hAnsi="Times New Roman" w:eastAsia="宋体" w:cs="Times New Roman"/>
                <w:sz w:val="21"/>
                <w:szCs w:val="21"/>
                <w:vertAlign w:val="baseline"/>
                <w:lang w:val="en-US" w:eastAsia="zh-CN"/>
              </w:rPr>
            </w:pPr>
          </w:p>
        </w:tc>
        <w:tc>
          <w:tcPr>
            <w:tcW w:w="2131" w:type="dxa"/>
          </w:tcPr>
          <w:p>
            <w:pPr>
              <w:jc w:val="center"/>
              <w:rPr>
                <w:rFonts w:hint="eastAsia"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w:t>
            </w:r>
          </w:p>
        </w:tc>
        <w:tc>
          <w:tcPr>
            <w:tcW w:w="2130" w:type="dxa"/>
            <w:vAlign w:val="top"/>
          </w:tcPr>
          <w:p>
            <w:pPr>
              <w:jc w:val="left"/>
              <w:rPr>
                <w:rFonts w:hint="default" w:ascii="Times New Roman" w:hAnsi="Times New Roman" w:eastAsia="宋体" w:cs="Times New Roman"/>
                <w:sz w:val="21"/>
                <w:szCs w:val="21"/>
                <w:vertAlign w:val="baseline"/>
                <w:lang w:val="en-US" w:eastAsia="zh-CN"/>
              </w:rPr>
            </w:pPr>
          </w:p>
        </w:tc>
        <w:tc>
          <w:tcPr>
            <w:tcW w:w="2131" w:type="dxa"/>
            <w:vAlign w:val="center"/>
          </w:tcPr>
          <w:p>
            <w:pPr>
              <w:jc w:val="center"/>
              <w:rPr>
                <w:rFonts w:hint="eastAsia" w:ascii="Times New Roman" w:hAnsi="Times New Roman" w:eastAsia="宋体" w:cs="Times New Roman"/>
                <w:sz w:val="21"/>
                <w:szCs w:val="21"/>
                <w:vertAlign w:val="baseline"/>
                <w:lang w:val="en-US" w:eastAsia="zh-CN"/>
              </w:rPr>
            </w:pPr>
          </w:p>
        </w:tc>
        <w:tc>
          <w:tcPr>
            <w:tcW w:w="2131" w:type="dxa"/>
          </w:tcPr>
          <w:p>
            <w:pPr>
              <w:jc w:val="center"/>
              <w:rPr>
                <w:rFonts w:hint="eastAsia"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0" w:type="dxa"/>
            <w:gridSpan w:val="2"/>
            <w:vAlign w:val="center"/>
          </w:tcPr>
          <w:p>
            <w:pPr>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合计</w:t>
            </w:r>
          </w:p>
        </w:tc>
        <w:tc>
          <w:tcPr>
            <w:tcW w:w="2131" w:type="dxa"/>
            <w:vAlign w:val="center"/>
          </w:tcPr>
          <w:p>
            <w:pPr>
              <w:jc w:val="center"/>
              <w:rPr>
                <w:rFonts w:hint="default" w:ascii="Times New Roman" w:hAnsi="Times New Roman" w:eastAsia="宋体" w:cs="Times New Roman"/>
                <w:sz w:val="21"/>
                <w:szCs w:val="21"/>
                <w:vertAlign w:val="baseline"/>
                <w:lang w:val="en-US" w:eastAsia="zh-CN"/>
              </w:rPr>
            </w:pPr>
          </w:p>
        </w:tc>
        <w:tc>
          <w:tcPr>
            <w:tcW w:w="2131" w:type="dxa"/>
          </w:tcPr>
          <w:p>
            <w:pPr>
              <w:jc w:val="center"/>
              <w:rPr>
                <w:rFonts w:hint="default" w:ascii="Times New Roman" w:hAnsi="Times New Roman" w:eastAsia="宋体" w:cs="Times New Roman"/>
                <w:sz w:val="21"/>
                <w:szCs w:val="21"/>
                <w:vertAlign w:val="baseline"/>
                <w:lang w:val="en-US" w:eastAsia="zh-CN"/>
              </w:rPr>
            </w:pPr>
          </w:p>
        </w:tc>
      </w:tr>
    </w:tbl>
    <w:p>
      <w:pPr>
        <w:pStyle w:val="12"/>
        <w:numPr>
          <w:ilvl w:val="1"/>
          <w:numId w:val="0"/>
        </w:numPr>
        <w:spacing w:line="360" w:lineRule="auto"/>
        <w:ind w:left="420" w:leftChars="0"/>
        <w:rPr>
          <w:rFonts w:hint="eastAsia"/>
          <w:sz w:val="28"/>
          <w:szCs w:val="28"/>
          <w:u w:val="single"/>
          <w:lang w:eastAsia="zh-CN"/>
        </w:rPr>
      </w:pPr>
    </w:p>
    <w:p>
      <w:pPr>
        <w:pStyle w:val="12"/>
        <w:numPr>
          <w:ilvl w:val="-1"/>
          <w:numId w:val="0"/>
        </w:numPr>
        <w:spacing w:line="360" w:lineRule="auto"/>
        <w:ind w:left="0" w:firstLine="560" w:firstLineChars="200"/>
        <w:rPr>
          <w:u w:val="single"/>
        </w:rPr>
      </w:pPr>
      <w:r>
        <w:rPr>
          <w:rFonts w:hint="eastAsia"/>
          <w:lang w:val="en-US" w:eastAsia="zh-CN"/>
        </w:rPr>
        <w:t>5.2水电费：</w:t>
      </w:r>
      <w:r>
        <w:rPr>
          <w:rFonts w:hint="eastAsia"/>
        </w:rPr>
        <w:t>本</w:t>
      </w:r>
      <w:r>
        <w:rPr>
          <w:rFonts w:hint="eastAsia"/>
          <w:lang w:eastAsia="zh-CN"/>
        </w:rPr>
        <w:t>合同</w:t>
      </w:r>
      <w:r>
        <w:rPr>
          <w:rFonts w:hint="eastAsia"/>
        </w:rPr>
        <w:t>租赁期限内，室内电费单价按</w:t>
      </w:r>
      <w:r>
        <w:rPr>
          <w:rFonts w:hint="eastAsia"/>
          <w:u w:val="single"/>
          <w:lang w:val="en-US" w:eastAsia="zh-CN"/>
        </w:rPr>
        <w:t xml:space="preserve">  </w:t>
      </w:r>
      <w:r>
        <w:rPr>
          <w:rFonts w:hint="eastAsia"/>
        </w:rPr>
        <w:t>元/度，乙方负责安装独立计量电表，相关安装费用及材料费由乙方承担。如因条件限制导致租赁场地无法安装独立电表，电费则依据总表实际用量按现有租户租赁面积分摊，即乙方每月用电量=电表总表读数÷现有租户承租面积之和×乙方承租面积。乙方据实向甲方缴纳电费。（不含空调使用电费）；</w:t>
      </w:r>
      <w:r>
        <w:rPr>
          <w:rFonts w:hint="eastAsia"/>
          <w:highlight w:val="none"/>
        </w:rPr>
        <w:t>水费按</w:t>
      </w:r>
      <w:r>
        <w:rPr>
          <w:rFonts w:hint="eastAsia"/>
          <w:highlight w:val="none"/>
          <w:u w:val="single"/>
          <w:lang w:val="en-US" w:eastAsia="zh-CN"/>
        </w:rPr>
        <w:t xml:space="preserve">    </w:t>
      </w:r>
      <w:r>
        <w:rPr>
          <w:rFonts w:hint="eastAsia"/>
          <w:highlight w:val="none"/>
          <w:u w:val="single"/>
        </w:rPr>
        <w:t>元/月</w:t>
      </w:r>
      <w:r>
        <w:rPr>
          <w:rFonts w:hint="eastAsia"/>
          <w:highlight w:val="none"/>
        </w:rPr>
        <w:t>收取。</w:t>
      </w:r>
      <w:r>
        <w:rPr>
          <w:rFonts w:hint="eastAsia"/>
          <w:highlight w:val="none"/>
          <w:lang w:val="en-US" w:eastAsia="zh-CN"/>
        </w:rPr>
        <w:t>本月水电费应于次月缴费通知出具后的</w:t>
      </w:r>
      <w:r>
        <w:rPr>
          <w:rFonts w:hint="eastAsia"/>
          <w:highlight w:val="none"/>
          <w:u w:val="single"/>
          <w:lang w:val="en-US" w:eastAsia="zh-CN"/>
        </w:rPr>
        <w:t xml:space="preserve"> 10  </w:t>
      </w:r>
      <w:r>
        <w:rPr>
          <w:rFonts w:hint="eastAsia"/>
          <w:highlight w:val="none"/>
          <w:lang w:val="en-US" w:eastAsia="zh-CN"/>
        </w:rPr>
        <w:t>日内结清。</w:t>
      </w:r>
    </w:p>
    <w:p>
      <w:pPr>
        <w:pStyle w:val="12"/>
        <w:numPr>
          <w:ilvl w:val="-1"/>
          <w:numId w:val="0"/>
        </w:numPr>
        <w:spacing w:line="360" w:lineRule="auto"/>
        <w:ind w:left="0" w:firstLine="560" w:firstLineChars="200"/>
        <w:rPr>
          <w:u w:val="single"/>
        </w:rPr>
      </w:pPr>
      <w:r>
        <w:rPr>
          <w:rFonts w:hint="eastAsia"/>
          <w:lang w:val="en-US" w:eastAsia="zh-CN"/>
        </w:rPr>
        <w:t>5.3</w:t>
      </w:r>
      <w:r>
        <w:rPr>
          <w:rFonts w:hint="eastAsia"/>
        </w:rPr>
        <w:t>租赁区域安保、保洁等费用由乙方负责。空调使用费</w:t>
      </w:r>
      <w:r>
        <w:t>、新风系统电费</w:t>
      </w:r>
      <w:r>
        <w:rPr>
          <w:rFonts w:hint="eastAsia"/>
        </w:rPr>
        <w:t>另行商定后收取。</w:t>
      </w:r>
    </w:p>
    <w:p>
      <w:pPr>
        <w:pStyle w:val="12"/>
        <w:numPr>
          <w:ilvl w:val="1"/>
          <w:numId w:val="0"/>
        </w:numPr>
        <w:spacing w:line="360" w:lineRule="auto"/>
        <w:ind w:left="0" w:leftChars="0" w:firstLine="560" w:firstLineChars="200"/>
        <w:rPr>
          <w:rFonts w:hint="default"/>
          <w:u w:val="single"/>
          <w:lang w:val="en-US"/>
        </w:rPr>
      </w:pPr>
      <w:r>
        <w:rPr>
          <w:rFonts w:hint="eastAsia"/>
          <w:u w:val="single"/>
          <w:lang w:val="en-US" w:eastAsia="zh-CN"/>
        </w:rPr>
        <w:t>5.4物业服务费用：物业管理综合服务费标准为  元/平方米/月，按本合同约定的计租面积计算，每月    元。</w:t>
      </w:r>
    </w:p>
    <w:p>
      <w:pPr>
        <w:pStyle w:val="12"/>
        <w:numPr>
          <w:ilvl w:val="-1"/>
          <w:numId w:val="0"/>
        </w:numPr>
        <w:spacing w:line="360" w:lineRule="auto"/>
        <w:ind w:left="0" w:firstLine="560" w:firstLineChars="200"/>
        <w:rPr>
          <w:u w:val="none"/>
        </w:rPr>
      </w:pPr>
      <w:r>
        <w:rPr>
          <w:rFonts w:hint="eastAsia"/>
          <w:u w:val="none"/>
          <w:lang w:val="en-US" w:eastAsia="zh-CN"/>
        </w:rPr>
        <w:t>5.5</w:t>
      </w:r>
      <w:r>
        <w:rPr>
          <w:rFonts w:hint="eastAsia"/>
          <w:u w:val="none"/>
        </w:rPr>
        <w:t>前述租金及</w:t>
      </w:r>
      <w:r>
        <w:rPr>
          <w:rFonts w:hint="eastAsia"/>
          <w:u w:val="none"/>
          <w:lang w:val="en-US" w:eastAsia="zh-CN"/>
        </w:rPr>
        <w:t>其他</w:t>
      </w:r>
      <w:r>
        <w:rPr>
          <w:rFonts w:hint="eastAsia"/>
          <w:u w:val="none"/>
        </w:rPr>
        <w:t>费用，需汇至甲方指定</w:t>
      </w:r>
      <w:r>
        <w:rPr>
          <w:rFonts w:hint="eastAsia"/>
          <w:u w:val="none"/>
          <w:lang w:val="en-US" w:eastAsia="zh-CN"/>
        </w:rPr>
        <w:t>唯一</w:t>
      </w:r>
      <w:r>
        <w:rPr>
          <w:rFonts w:hint="eastAsia"/>
          <w:u w:val="none"/>
        </w:rPr>
        <w:t>收款银行账户：</w:t>
      </w:r>
    </w:p>
    <w:p>
      <w:pPr>
        <w:pStyle w:val="12"/>
        <w:numPr>
          <w:ilvl w:val="255"/>
          <w:numId w:val="0"/>
        </w:numPr>
        <w:spacing w:line="360" w:lineRule="auto"/>
        <w:ind w:left="420" w:leftChars="200" w:firstLine="218" w:firstLineChars="78"/>
        <w:rPr>
          <w:u w:val="none"/>
        </w:rPr>
      </w:pPr>
      <w:r>
        <w:rPr>
          <w:rFonts w:hint="eastAsia"/>
          <w:u w:val="none"/>
        </w:rPr>
        <w:t>甲方指定银行账户：</w:t>
      </w:r>
    </w:p>
    <w:p>
      <w:pPr>
        <w:pStyle w:val="12"/>
        <w:numPr>
          <w:ilvl w:val="255"/>
          <w:numId w:val="0"/>
        </w:numPr>
        <w:spacing w:line="360" w:lineRule="auto"/>
        <w:ind w:left="420" w:leftChars="200" w:firstLine="218" w:firstLineChars="78"/>
      </w:pPr>
      <w:r>
        <w:rPr>
          <w:rFonts w:hint="eastAsia"/>
        </w:rPr>
        <w:t>户名：南宁国际会展中心有限公司</w:t>
      </w:r>
    </w:p>
    <w:p>
      <w:pPr>
        <w:pStyle w:val="12"/>
        <w:numPr>
          <w:ilvl w:val="255"/>
          <w:numId w:val="0"/>
        </w:numPr>
        <w:spacing w:line="360" w:lineRule="auto"/>
        <w:ind w:left="420" w:leftChars="200" w:firstLine="218" w:firstLineChars="78"/>
      </w:pPr>
      <w:r>
        <w:rPr>
          <w:rFonts w:hint="eastAsia"/>
        </w:rPr>
        <w:t>账号：</w:t>
      </w:r>
      <w:r>
        <w:t>45050160426600000896</w:t>
      </w:r>
    </w:p>
    <w:p>
      <w:pPr>
        <w:pStyle w:val="12"/>
        <w:numPr>
          <w:ilvl w:val="255"/>
          <w:numId w:val="0"/>
        </w:numPr>
        <w:spacing w:line="360" w:lineRule="auto"/>
        <w:ind w:left="420" w:leftChars="200" w:firstLine="218" w:firstLineChars="78"/>
        <w:rPr>
          <w:rFonts w:ascii="宋体" w:hAnsi="宋体"/>
        </w:rPr>
      </w:pPr>
      <w:r>
        <w:rPr>
          <w:rFonts w:hint="eastAsia"/>
        </w:rPr>
        <w:t>开户行：中国建设银行股份有限公司南宁金湖广场支行</w:t>
      </w:r>
    </w:p>
    <w:p>
      <w:pPr>
        <w:pStyle w:val="12"/>
        <w:numPr>
          <w:ilvl w:val="-1"/>
          <w:numId w:val="0"/>
        </w:numPr>
        <w:spacing w:line="360" w:lineRule="auto"/>
        <w:ind w:left="0" w:firstLine="560" w:firstLineChars="200"/>
      </w:pPr>
      <w:r>
        <w:rPr>
          <w:rFonts w:hint="eastAsia"/>
          <w:lang w:val="en-US" w:eastAsia="zh-CN"/>
        </w:rPr>
        <w:t>5.6</w:t>
      </w:r>
      <w:r>
        <w:rPr>
          <w:rFonts w:hint="eastAsia"/>
        </w:rPr>
        <w:t>如乙方需甲方提供本</w:t>
      </w:r>
      <w:r>
        <w:rPr>
          <w:rFonts w:hint="eastAsia"/>
          <w:lang w:eastAsia="zh-CN"/>
        </w:rPr>
        <w:t>合同</w:t>
      </w:r>
      <w:r>
        <w:rPr>
          <w:rFonts w:hint="eastAsia"/>
        </w:rPr>
        <w:t>未约定的其他租赁（或服务）项目，应按甲方的收费标准向甲方支付相关项目的费用。</w:t>
      </w:r>
    </w:p>
    <w:p>
      <w:pPr>
        <w:pStyle w:val="10"/>
        <w:spacing w:line="360" w:lineRule="auto"/>
      </w:pPr>
      <w:bookmarkStart w:id="19" w:name="_Toc83568829"/>
      <w:bookmarkStart w:id="20" w:name="_Toc13052"/>
      <w:bookmarkStart w:id="21" w:name="_Toc882909696"/>
      <w:r>
        <w:rPr>
          <w:rFonts w:hint="eastAsia"/>
        </w:rPr>
        <w:t>履约保证金</w:t>
      </w:r>
      <w:bookmarkEnd w:id="19"/>
      <w:bookmarkEnd w:id="20"/>
      <w:bookmarkEnd w:id="21"/>
    </w:p>
    <w:p>
      <w:pPr>
        <w:pStyle w:val="12"/>
        <w:spacing w:line="360" w:lineRule="auto"/>
        <w:ind w:left="-140" w:firstLine="780" w:firstLineChars="0"/>
        <w:rPr>
          <w:color w:val="FF0000"/>
        </w:rPr>
      </w:pPr>
      <w:r>
        <w:rPr>
          <w:rFonts w:hint="eastAsia"/>
        </w:rPr>
        <w:t>乙方应于</w:t>
      </w:r>
      <w:r>
        <w:rPr>
          <w:rFonts w:hint="eastAsia"/>
          <w:lang w:val="en-US" w:eastAsia="zh-CN"/>
        </w:rPr>
        <w:t>收到成交通知书后</w:t>
      </w:r>
      <w:r>
        <w:rPr>
          <w:rFonts w:hint="eastAsia"/>
        </w:rPr>
        <w:t>5日内向甲方支付履约保证金</w:t>
      </w:r>
      <w:r>
        <w:rPr>
          <w:rFonts w:hint="eastAsia"/>
          <w:u w:val="single"/>
          <w:lang w:val="en-US" w:eastAsia="zh-CN"/>
        </w:rPr>
        <w:t xml:space="preserve">   </w:t>
      </w:r>
      <w:r>
        <w:rPr>
          <w:rFonts w:hint="eastAsia"/>
        </w:rPr>
        <w:t>整（</w:t>
      </w:r>
      <w:r>
        <w:rPr>
          <w:rFonts w:hint="eastAsia"/>
          <w:u w:val="single"/>
        </w:rPr>
        <w:t>￥</w:t>
      </w:r>
      <w:r>
        <w:rPr>
          <w:rFonts w:hint="eastAsia"/>
          <w:u w:val="single"/>
          <w:lang w:val="en-US" w:eastAsia="zh-CN"/>
        </w:rPr>
        <w:t xml:space="preserve">   </w:t>
      </w:r>
      <w:r>
        <w:rPr>
          <w:rFonts w:hint="eastAsia"/>
        </w:rPr>
        <w:t>）。本合同租赁期限内，如乙方未能及时足额支付本合同约定的费用或基于本合同所产生的其他第三方费用的（包括但不限于：租金、电费、</w:t>
      </w:r>
      <w:r>
        <w:rPr>
          <w:rFonts w:hint="eastAsia"/>
          <w:lang w:val="en-US" w:eastAsia="zh-CN"/>
        </w:rPr>
        <w:t>管理费、</w:t>
      </w:r>
      <w:r>
        <w:rPr>
          <w:rFonts w:hint="eastAsia"/>
        </w:rPr>
        <w:t>损害赔偿等合同约定或生效法律文书所确定的乙方应当支付的其他费用等），甲方有权从履约保证金中直接扣除前述费用，并通知乙方</w:t>
      </w:r>
      <w:r>
        <w:rPr>
          <w:rFonts w:hint="eastAsia"/>
          <w:lang w:val="en-US" w:eastAsia="zh-CN"/>
        </w:rPr>
        <w:t>补足履约保证金</w:t>
      </w:r>
      <w:r>
        <w:rPr>
          <w:rFonts w:hint="eastAsia"/>
        </w:rPr>
        <w:t>，乙方须在收到甲方通知后</w:t>
      </w:r>
      <w:r>
        <w:rPr>
          <w:rFonts w:hint="eastAsia"/>
          <w:u w:val="single"/>
        </w:rPr>
        <w:t xml:space="preserve">  </w:t>
      </w:r>
      <w:r>
        <w:rPr>
          <w:rFonts w:hint="eastAsia"/>
        </w:rPr>
        <w:t>日内补足履约保证金数额。履约保证金不足以扣除前述费用的，不足部分甲方有权向乙方追偿，且乙方还应承担当期欠付款项总额</w:t>
      </w:r>
      <w:r>
        <w:rPr>
          <w:rFonts w:hint="eastAsia"/>
          <w:lang w:val="en-US" w:eastAsia="zh-CN"/>
        </w:rPr>
        <w:t xml:space="preserve"> </w:t>
      </w:r>
      <w:r>
        <w:rPr>
          <w:rFonts w:hint="eastAsia"/>
          <w:u w:val="single"/>
          <w:lang w:val="en-US" w:eastAsia="zh-CN"/>
        </w:rPr>
        <w:t xml:space="preserve"> 5</w:t>
      </w:r>
      <w:r>
        <w:rPr>
          <w:rFonts w:hint="eastAsia"/>
          <w:u w:val="single"/>
        </w:rPr>
        <w:t>%</w:t>
      </w:r>
      <w:r>
        <w:rPr>
          <w:rFonts w:hint="eastAsia"/>
        </w:rPr>
        <w:t>的违约金。</w:t>
      </w:r>
    </w:p>
    <w:p>
      <w:pPr>
        <w:pStyle w:val="12"/>
        <w:spacing w:line="360" w:lineRule="auto"/>
        <w:ind w:left="-140" w:firstLineChars="0"/>
        <w:rPr>
          <w:color w:val="FF0000"/>
        </w:rPr>
      </w:pPr>
      <w:r>
        <w:rPr>
          <w:rFonts w:hint="eastAsia" w:ascii="宋体" w:hAnsi="宋体"/>
        </w:rPr>
        <w:t>租赁期限届满后，</w:t>
      </w:r>
      <w:r>
        <w:rPr>
          <w:rFonts w:hint="eastAsia" w:ascii="宋体" w:hAnsi="宋体"/>
          <w:lang w:val="en-US" w:eastAsia="zh-CN"/>
        </w:rPr>
        <w:t>如乙方欠付费用未支付，</w:t>
      </w:r>
      <w:r>
        <w:rPr>
          <w:rFonts w:hint="eastAsia"/>
        </w:rPr>
        <w:t>履约保证金</w:t>
      </w:r>
      <w:r>
        <w:rPr>
          <w:rFonts w:hint="eastAsia"/>
          <w:lang w:val="en-US" w:eastAsia="zh-CN"/>
        </w:rPr>
        <w:t>则</w:t>
      </w:r>
      <w:r>
        <w:rPr>
          <w:rFonts w:hint="eastAsia"/>
        </w:rPr>
        <w:t>优先用于抵扣乙方欠付的租金、</w:t>
      </w:r>
      <w:r>
        <w:rPr>
          <w:rFonts w:hint="eastAsia"/>
          <w:lang w:val="en-US" w:eastAsia="zh-CN"/>
        </w:rPr>
        <w:t>物业费、</w:t>
      </w:r>
      <w:r>
        <w:rPr>
          <w:rFonts w:hint="eastAsia"/>
        </w:rPr>
        <w:t>水电费和其它应付费用。</w:t>
      </w:r>
      <w:r>
        <w:rPr>
          <w:rFonts w:hint="eastAsia" w:ascii="宋体" w:hAnsi="宋体"/>
        </w:rPr>
        <w:t>在以下条件全部满足后的</w:t>
      </w:r>
      <w:r>
        <w:rPr>
          <w:rFonts w:ascii="宋体" w:hAnsi="宋体"/>
        </w:rPr>
        <w:t>30</w:t>
      </w:r>
      <w:r>
        <w:rPr>
          <w:rFonts w:hint="eastAsia" w:ascii="宋体" w:hAnsi="宋体"/>
        </w:rPr>
        <w:t>个工作日内</w:t>
      </w:r>
      <w:r>
        <w:rPr>
          <w:rFonts w:hint="eastAsia" w:ascii="宋体" w:hAnsi="宋体"/>
          <w:lang w:eastAsia="zh-CN"/>
        </w:rPr>
        <w:t>，</w:t>
      </w:r>
      <w:r>
        <w:rPr>
          <w:rFonts w:hint="eastAsia" w:ascii="宋体" w:hAnsi="宋体"/>
        </w:rPr>
        <w:t>乙方先向甲方书面提出履约保证金返还的申请，甲方</w:t>
      </w:r>
      <w:r>
        <w:rPr>
          <w:rFonts w:hint="eastAsia" w:ascii="宋体" w:hAnsi="宋体"/>
          <w:lang w:val="en-US" w:eastAsia="zh-CN"/>
        </w:rPr>
        <w:t>审批同意后则</w:t>
      </w:r>
      <w:r>
        <w:rPr>
          <w:rFonts w:hint="eastAsia" w:ascii="宋体" w:hAnsi="宋体"/>
        </w:rPr>
        <w:t>将乙方缴纳的剩余履约保证金（如有）全部无息返还给乙方</w:t>
      </w:r>
      <w:r>
        <w:rPr>
          <w:rFonts w:hint="eastAsia"/>
        </w:rPr>
        <w:t>。</w:t>
      </w:r>
    </w:p>
    <w:p>
      <w:pPr>
        <w:pStyle w:val="6"/>
        <w:ind w:firstLine="560"/>
        <w:rPr>
          <w:rFonts w:ascii="宋体" w:hAnsi="宋体"/>
        </w:rPr>
      </w:pPr>
      <w:r>
        <w:rPr>
          <w:rFonts w:hint="eastAsia" w:ascii="宋体" w:hAnsi="宋体"/>
        </w:rPr>
        <w:t>乙方已办妥以该租赁场地为注册地址或营业地址的工商注销或变更手续</w:t>
      </w:r>
      <w:r>
        <w:rPr>
          <w:rFonts w:hint="eastAsia" w:ascii="宋体" w:hAnsi="宋体"/>
          <w:lang w:eastAsia="zh-CN"/>
        </w:rPr>
        <w:t>（</w:t>
      </w:r>
      <w:r>
        <w:rPr>
          <w:rFonts w:hint="eastAsia" w:ascii="宋体" w:hAnsi="宋体"/>
          <w:lang w:val="en-US" w:eastAsia="zh-CN"/>
        </w:rPr>
        <w:t>以提供企业地址变更通知书或新营业执照为核准依据</w:t>
      </w:r>
      <w:r>
        <w:rPr>
          <w:rFonts w:hint="eastAsia" w:ascii="宋体" w:hAnsi="宋体"/>
          <w:lang w:eastAsia="zh-CN"/>
        </w:rPr>
        <w:t>）</w:t>
      </w:r>
      <w:r>
        <w:rPr>
          <w:rFonts w:hint="eastAsia" w:ascii="宋体" w:hAnsi="宋体"/>
        </w:rPr>
        <w:t>。</w:t>
      </w:r>
    </w:p>
    <w:p>
      <w:pPr>
        <w:pStyle w:val="6"/>
        <w:ind w:firstLine="560"/>
        <w:rPr>
          <w:rFonts w:ascii="宋体" w:hAnsi="宋体"/>
        </w:rPr>
      </w:pPr>
      <w:r>
        <w:rPr>
          <w:rFonts w:hint="eastAsia" w:ascii="宋体" w:hAnsi="宋体"/>
        </w:rPr>
        <w:t>乙方已将租赁场地及附属设施设备物完好、整洁地交还给甲方</w:t>
      </w:r>
      <w:r>
        <w:rPr>
          <w:rFonts w:hint="eastAsia" w:ascii="宋体" w:hAnsi="宋体"/>
          <w:lang w:eastAsia="zh-CN"/>
        </w:rPr>
        <w:t>（</w:t>
      </w:r>
      <w:r>
        <w:rPr>
          <w:rFonts w:hint="eastAsia" w:ascii="宋体" w:hAnsi="宋体"/>
          <w:lang w:val="en-US" w:eastAsia="zh-CN"/>
        </w:rPr>
        <w:t>以提交房屋/场地移交表为核准依据</w:t>
      </w:r>
      <w:r>
        <w:rPr>
          <w:rFonts w:hint="eastAsia" w:ascii="宋体" w:hAnsi="宋体"/>
          <w:lang w:eastAsia="zh-CN"/>
        </w:rPr>
        <w:t>）</w:t>
      </w:r>
      <w:r>
        <w:rPr>
          <w:rFonts w:hint="eastAsia" w:ascii="宋体" w:hAnsi="宋体"/>
        </w:rPr>
        <w:t>。</w:t>
      </w:r>
    </w:p>
    <w:p>
      <w:pPr>
        <w:pStyle w:val="6"/>
        <w:ind w:firstLine="560"/>
        <w:rPr>
          <w:rFonts w:hint="default" w:eastAsia="宋体"/>
          <w:lang w:val="en-US" w:eastAsia="zh-CN"/>
        </w:rPr>
      </w:pPr>
      <w:r>
        <w:rPr>
          <w:rFonts w:hint="eastAsia" w:ascii="宋体" w:hAnsi="宋体"/>
        </w:rPr>
        <w:t>乙方已缴清租金及合同约定的各项费用，并且履行完毕本合同项下其他义务，经甲方确认乙方对其不再构成可能的经济责任。</w:t>
      </w:r>
    </w:p>
    <w:p>
      <w:pPr>
        <w:pStyle w:val="10"/>
        <w:spacing w:line="360" w:lineRule="auto"/>
      </w:pPr>
      <w:bookmarkStart w:id="22" w:name="_Toc83568831"/>
      <w:bookmarkStart w:id="23" w:name="_Toc16851"/>
      <w:bookmarkStart w:id="24" w:name="_Toc2098743549"/>
      <w:r>
        <w:rPr>
          <w:rFonts w:hint="eastAsia"/>
        </w:rPr>
        <w:t>租赁</w:t>
      </w:r>
      <w:r>
        <w:t>场地的</w:t>
      </w:r>
      <w:r>
        <w:rPr>
          <w:rFonts w:hint="eastAsia"/>
        </w:rPr>
        <w:t>维修</w:t>
      </w:r>
      <w:bookmarkEnd w:id="22"/>
      <w:r>
        <w:rPr>
          <w:rFonts w:hint="eastAsia"/>
        </w:rPr>
        <w:t>及维护</w:t>
      </w:r>
      <w:bookmarkEnd w:id="23"/>
      <w:bookmarkEnd w:id="24"/>
    </w:p>
    <w:p>
      <w:pPr>
        <w:pStyle w:val="12"/>
        <w:spacing w:line="360" w:lineRule="auto"/>
        <w:ind w:left="-140" w:firstLineChars="0"/>
      </w:pPr>
      <w:r>
        <w:rPr>
          <w:rFonts w:hint="eastAsia"/>
        </w:rPr>
        <w:t>甲方负责维修的范围及费用负担：租赁场地内的中央空调系统、消防系统的维修，强电、弱电系统接驳点以外设备设施的维修以及国家规定强制性检测费用。</w:t>
      </w:r>
    </w:p>
    <w:p>
      <w:pPr>
        <w:pStyle w:val="12"/>
        <w:spacing w:line="360" w:lineRule="auto"/>
        <w:ind w:left="-140" w:firstLineChars="0"/>
      </w:pPr>
      <w:r>
        <w:rPr>
          <w:rFonts w:hint="eastAsia"/>
        </w:rPr>
        <w:t>乙方负责维修的范围及费用负担：甲方提供的强电、弱电系统接驳点以内的乙方设备设施、甲方已交付乙方使用的设备设施及照明等。</w:t>
      </w:r>
    </w:p>
    <w:p>
      <w:pPr>
        <w:pStyle w:val="12"/>
        <w:spacing w:line="360" w:lineRule="auto"/>
        <w:ind w:left="-140" w:firstLineChars="0"/>
      </w:pPr>
      <w:r>
        <w:rPr>
          <w:rFonts w:hint="eastAsia"/>
        </w:rPr>
        <w:t>因乙方装修、改扩建、日常经营使用不当或乙方所导致的其他原因致使场地设施设备出现损坏或发生故障的，由乙方负责修复并承担全部费用。</w:t>
      </w:r>
    </w:p>
    <w:p>
      <w:pPr>
        <w:pStyle w:val="10"/>
        <w:spacing w:line="360" w:lineRule="auto"/>
      </w:pPr>
      <w:bookmarkStart w:id="25" w:name="_Toc75036169"/>
      <w:bookmarkStart w:id="26" w:name="_Toc1174442712"/>
      <w:bookmarkStart w:id="27" w:name="_Toc14764"/>
      <w:r>
        <w:rPr>
          <w:rFonts w:hint="eastAsia"/>
        </w:rPr>
        <w:t>租赁场地的装饰装修</w:t>
      </w:r>
      <w:bookmarkEnd w:id="25"/>
      <w:bookmarkEnd w:id="26"/>
      <w:bookmarkEnd w:id="27"/>
    </w:p>
    <w:p>
      <w:pPr>
        <w:pStyle w:val="12"/>
        <w:spacing w:line="360" w:lineRule="auto"/>
        <w:ind w:left="-140" w:firstLineChars="0"/>
      </w:pPr>
      <w:r>
        <w:rPr>
          <w:rFonts w:hint="eastAsia"/>
        </w:rPr>
        <w:t>乙方需按照场地的用途标准进行装饰装修，所需配备的相应附属设施设备费用由乙方承担。乙方负责安装计量电表以计量因装饰装修租赁场地所产生的能耗，相关安装及材料费用由乙方承担。如因条件限制导致租赁场地无法安装独立电表，则电费依据总表实际用量按现有租户租赁面积分摊，即乙方每月用电量=电表总表读数</w:t>
      </w:r>
      <w:r>
        <w:rPr>
          <w:rFonts w:ascii="Arial" w:hAnsi="Arial" w:cs="Arial"/>
        </w:rPr>
        <w:t>÷</w:t>
      </w:r>
      <w:r>
        <w:rPr>
          <w:rFonts w:hint="eastAsia" w:ascii="Arial" w:hAnsi="Arial" w:cs="Arial"/>
        </w:rPr>
        <w:t>现有</w:t>
      </w:r>
      <w:r>
        <w:rPr>
          <w:rFonts w:hint="eastAsia"/>
        </w:rPr>
        <w:t>租户承租面积之和</w:t>
      </w:r>
      <w:r>
        <w:rPr>
          <w:rFonts w:ascii="Arial" w:hAnsi="Arial" w:cs="Arial"/>
        </w:rPr>
        <w:t>×</w:t>
      </w:r>
      <w:r>
        <w:rPr>
          <w:rFonts w:hint="eastAsia" w:ascii="Arial" w:hAnsi="Arial" w:cs="Arial"/>
        </w:rPr>
        <w:t>乙方承租面积。</w:t>
      </w:r>
    </w:p>
    <w:p>
      <w:pPr>
        <w:pStyle w:val="12"/>
        <w:spacing w:line="360" w:lineRule="auto"/>
        <w:ind w:left="-140" w:firstLineChars="0"/>
      </w:pPr>
      <w:r>
        <w:rPr>
          <w:rFonts w:hint="eastAsia"/>
        </w:rPr>
        <w:t>租赁期限内乙方另有装饰装修的，不再另外设置装饰装修期。</w:t>
      </w:r>
    </w:p>
    <w:p>
      <w:pPr>
        <w:pStyle w:val="12"/>
        <w:spacing w:line="360" w:lineRule="auto"/>
        <w:ind w:left="-140" w:firstLineChars="0"/>
      </w:pPr>
      <w:r>
        <w:rPr>
          <w:rFonts w:hint="eastAsia"/>
        </w:rPr>
        <w:t>乙方因装饰装修与第三方产生的任何争议、纠纷与甲方无关，若因乙方装饰装修与第三方产生纠纷导致甲方被追究责任的，甲方承担责任后，有权向乙方进行追偿，有权要求乙方赔偿甲方因此造成的损失。</w:t>
      </w:r>
    </w:p>
    <w:p>
      <w:pPr>
        <w:pStyle w:val="12"/>
        <w:spacing w:line="360" w:lineRule="auto"/>
        <w:ind w:left="-140" w:firstLineChars="0"/>
      </w:pPr>
      <w:r>
        <w:rPr>
          <w:rFonts w:hint="eastAsia"/>
        </w:rPr>
        <w:t>乙方进行装饰装修前，需向甲方提出装饰装修申请，经由甲方同意且不破坏原建筑结构的情况下，乙方可施工。如本</w:t>
      </w:r>
      <w:r>
        <w:rPr>
          <w:rFonts w:hint="eastAsia"/>
          <w:lang w:eastAsia="zh-CN"/>
        </w:rPr>
        <w:t>合同</w:t>
      </w:r>
      <w:r>
        <w:rPr>
          <w:rFonts w:hint="eastAsia"/>
        </w:rPr>
        <w:t>解除或租赁期满后乙方不再续租，甲方对乙方的装饰装修成果不作任何补偿。</w:t>
      </w:r>
    </w:p>
    <w:p>
      <w:pPr>
        <w:pStyle w:val="12"/>
        <w:spacing w:line="360" w:lineRule="auto"/>
        <w:ind w:left="-140" w:firstLineChars="0"/>
        <w:rPr>
          <w:color w:val="auto"/>
        </w:rPr>
      </w:pPr>
      <w:r>
        <w:rPr>
          <w:rFonts w:hint="eastAsia"/>
        </w:rPr>
        <w:t>乙</w:t>
      </w:r>
      <w:r>
        <w:rPr>
          <w:rFonts w:hint="eastAsia"/>
          <w:color w:val="auto"/>
        </w:rPr>
        <w:t>方向甲方提交的装修申请，应包括下列材料（材料需加盖乙方公章及设计施工单位公章）：</w:t>
      </w:r>
    </w:p>
    <w:p>
      <w:pPr>
        <w:pStyle w:val="6"/>
        <w:spacing w:line="360" w:lineRule="auto"/>
        <w:ind w:firstLine="560"/>
        <w:rPr>
          <w:color w:val="auto"/>
        </w:rPr>
      </w:pPr>
      <w:bookmarkStart w:id="28" w:name="_Toc1752709926_WPSOffice_Level1"/>
      <w:r>
        <w:rPr>
          <w:rFonts w:hint="eastAsia"/>
          <w:color w:val="auto"/>
          <w:sz w:val="28"/>
          <w:szCs w:val="28"/>
        </w:rPr>
        <w:t>装饰装修申请</w:t>
      </w:r>
      <w:r>
        <w:rPr>
          <w:rFonts w:hint="eastAsia"/>
          <w:color w:val="auto"/>
          <w:sz w:val="28"/>
          <w:szCs w:val="28"/>
          <w:lang w:eastAsia="zh-CN"/>
        </w:rPr>
        <w:t>（</w:t>
      </w:r>
      <w:r>
        <w:rPr>
          <w:rFonts w:hint="eastAsia"/>
          <w:color w:val="auto"/>
          <w:sz w:val="28"/>
          <w:szCs w:val="28"/>
          <w:lang w:val="en-US" w:eastAsia="zh-CN"/>
        </w:rPr>
        <w:t>含场地负责人和施工负责人联系方式</w:t>
      </w:r>
      <w:r>
        <w:rPr>
          <w:rFonts w:hint="eastAsia"/>
          <w:color w:val="auto"/>
          <w:sz w:val="28"/>
          <w:szCs w:val="28"/>
          <w:lang w:eastAsia="zh-CN"/>
        </w:rPr>
        <w:t>）</w:t>
      </w:r>
      <w:r>
        <w:rPr>
          <w:rFonts w:hint="eastAsia"/>
          <w:color w:val="auto"/>
          <w:sz w:val="28"/>
          <w:szCs w:val="28"/>
        </w:rPr>
        <w:t>；</w:t>
      </w:r>
      <w:bookmarkEnd w:id="28"/>
    </w:p>
    <w:p>
      <w:pPr>
        <w:pStyle w:val="6"/>
        <w:spacing w:line="360" w:lineRule="auto"/>
        <w:ind w:firstLine="560"/>
        <w:rPr>
          <w:color w:val="auto"/>
        </w:rPr>
      </w:pPr>
      <w:bookmarkStart w:id="29" w:name="_Toc762540383_WPSOffice_Level1"/>
      <w:r>
        <w:rPr>
          <w:rFonts w:hint="eastAsia"/>
          <w:color w:val="auto"/>
          <w:sz w:val="28"/>
          <w:szCs w:val="28"/>
        </w:rPr>
        <w:t>装饰装修设计方案及图纸；</w:t>
      </w:r>
      <w:bookmarkEnd w:id="29"/>
    </w:p>
    <w:p>
      <w:pPr>
        <w:pStyle w:val="6"/>
        <w:spacing w:line="360" w:lineRule="auto"/>
        <w:ind w:firstLine="560"/>
        <w:rPr>
          <w:color w:val="auto"/>
        </w:rPr>
      </w:pPr>
      <w:bookmarkStart w:id="30" w:name="_Toc1981295432_WPSOffice_Level1"/>
      <w:r>
        <w:rPr>
          <w:rFonts w:hint="eastAsia"/>
          <w:color w:val="auto"/>
          <w:sz w:val="28"/>
          <w:szCs w:val="28"/>
        </w:rPr>
        <w:t>装饰装修施工材料清单；</w:t>
      </w:r>
      <w:bookmarkEnd w:id="30"/>
    </w:p>
    <w:p>
      <w:pPr>
        <w:pStyle w:val="6"/>
        <w:spacing w:line="360" w:lineRule="auto"/>
        <w:ind w:firstLine="560"/>
        <w:rPr>
          <w:color w:val="auto"/>
        </w:rPr>
      </w:pPr>
      <w:bookmarkStart w:id="31" w:name="_Toc750895242_WPSOffice_Level1"/>
      <w:r>
        <w:rPr>
          <w:rFonts w:hint="eastAsia"/>
          <w:color w:val="auto"/>
          <w:sz w:val="28"/>
          <w:szCs w:val="28"/>
        </w:rPr>
        <w:t>装饰装修设计和施工企业及人员的资质材料、施工合同等；</w:t>
      </w:r>
      <w:bookmarkEnd w:id="31"/>
    </w:p>
    <w:p>
      <w:pPr>
        <w:pStyle w:val="6"/>
        <w:spacing w:line="360" w:lineRule="auto"/>
        <w:ind w:firstLine="560"/>
        <w:rPr>
          <w:color w:val="auto"/>
        </w:rPr>
      </w:pPr>
      <w:bookmarkStart w:id="32" w:name="_Toc1682422522_WPSOffice_Level1"/>
      <w:r>
        <w:rPr>
          <w:rFonts w:hint="eastAsia"/>
          <w:color w:val="auto"/>
          <w:sz w:val="28"/>
          <w:szCs w:val="28"/>
        </w:rPr>
        <w:t>甲方要求提供的其他材料。</w:t>
      </w:r>
      <w:bookmarkEnd w:id="32"/>
    </w:p>
    <w:p>
      <w:pPr>
        <w:pStyle w:val="12"/>
        <w:spacing w:line="360" w:lineRule="auto"/>
        <w:ind w:left="-140" w:firstLineChars="0"/>
      </w:pPr>
      <w:r>
        <w:rPr>
          <w:rFonts w:hint="eastAsia"/>
          <w:color w:val="auto"/>
        </w:rPr>
        <w:t>乙方必须负责办理租赁场地的装饰装修、施工、验收等有关手续及承担其发生的各种费用。装饰装修标准及质量要求：达到国家</w:t>
      </w:r>
      <w:r>
        <w:rPr>
          <w:rFonts w:hint="eastAsia"/>
        </w:rPr>
        <w:t xml:space="preserve">有关消防、安全、卫生、环保等有关规定的验收合格标准。 </w:t>
      </w:r>
    </w:p>
    <w:p>
      <w:pPr>
        <w:pStyle w:val="12"/>
        <w:spacing w:line="360" w:lineRule="auto"/>
        <w:ind w:left="-140" w:firstLineChars="0"/>
      </w:pPr>
      <w:r>
        <w:rPr>
          <w:rFonts w:hint="eastAsia"/>
        </w:rPr>
        <w:t>乙方对租赁场地进行装饰装修时，禁止下列行为，如违反本条定情形之一的按本</w:t>
      </w:r>
      <w:r>
        <w:rPr>
          <w:rFonts w:hint="eastAsia"/>
          <w:lang w:eastAsia="zh-CN"/>
        </w:rPr>
        <w:t>合同</w:t>
      </w:r>
      <w:r>
        <w:rPr>
          <w:rFonts w:hint="eastAsia"/>
        </w:rPr>
        <w:t>违约责任条款承担赔偿责任：</w:t>
      </w:r>
    </w:p>
    <w:p>
      <w:pPr>
        <w:pStyle w:val="6"/>
        <w:spacing w:line="360" w:lineRule="auto"/>
        <w:ind w:firstLine="560"/>
      </w:pPr>
      <w:r>
        <w:rPr>
          <w:rFonts w:hint="eastAsia"/>
        </w:rPr>
        <w:t>拆除或部分拆除具有承重作用的基础、墙体、柱、梁、楼板等构件；</w:t>
      </w:r>
    </w:p>
    <w:p>
      <w:pPr>
        <w:pStyle w:val="6"/>
        <w:spacing w:line="360" w:lineRule="auto"/>
        <w:ind w:firstLine="560"/>
      </w:pPr>
      <w:r>
        <w:rPr>
          <w:rFonts w:hint="eastAsia"/>
        </w:rPr>
        <w:t>拆改燃气管道或租赁物共用部位；</w:t>
      </w:r>
    </w:p>
    <w:p>
      <w:pPr>
        <w:pStyle w:val="6"/>
        <w:spacing w:line="360" w:lineRule="auto"/>
        <w:ind w:firstLine="560"/>
      </w:pPr>
      <w:r>
        <w:rPr>
          <w:rFonts w:hint="eastAsia"/>
        </w:rPr>
        <w:t>除消防部门另有要求外，乙方在装饰装修工程中以及租赁期内遮挡、移动、拆除、破坏原安装到位的广播、水喷淋、感烟感温探头等消防设施；</w:t>
      </w:r>
    </w:p>
    <w:p>
      <w:pPr>
        <w:pStyle w:val="6"/>
        <w:spacing w:line="360" w:lineRule="auto"/>
        <w:ind w:firstLine="560"/>
      </w:pPr>
      <w:r>
        <w:rPr>
          <w:rFonts w:hint="eastAsia"/>
        </w:rPr>
        <w:t>由乙方安装的给水、排水、通风空调、排烟、油污、语音、数据、网络等强弱电设备设施，没有接入甲方已预留的主干管井和线路，私自改变路由；</w:t>
      </w:r>
    </w:p>
    <w:p>
      <w:pPr>
        <w:pStyle w:val="6"/>
        <w:spacing w:line="360" w:lineRule="auto"/>
        <w:ind w:firstLine="560"/>
      </w:pPr>
      <w:r>
        <w:rPr>
          <w:rFonts w:hint="eastAsia"/>
        </w:rPr>
        <w:t>法律、法规、政策规定或其他危及场地使用安全的行为。</w:t>
      </w:r>
    </w:p>
    <w:p>
      <w:pPr>
        <w:pStyle w:val="12"/>
        <w:spacing w:line="360" w:lineRule="auto"/>
        <w:ind w:left="-140" w:firstLineChars="0"/>
      </w:pPr>
      <w:r>
        <w:rPr>
          <w:rFonts w:hint="eastAsia"/>
        </w:rPr>
        <w:t>乙方对装饰装修活动负有全部的安全管理义务，是装饰装修工程安全管理的责任人。因乙方装饰装修行为发生安全事故的，乙方须承担包括但不限于经济赔偿的全部责任。</w:t>
      </w:r>
    </w:p>
    <w:p>
      <w:pPr>
        <w:pStyle w:val="12"/>
        <w:spacing w:line="360" w:lineRule="auto"/>
        <w:ind w:left="-140" w:firstLineChars="0"/>
      </w:pPr>
      <w:r>
        <w:rPr>
          <w:rFonts w:hint="eastAsia"/>
        </w:rPr>
        <w:t>因乙方装饰装修产生的垃圾由乙方负责清运出南宁国际会展中心，费用由乙方承担。</w:t>
      </w:r>
    </w:p>
    <w:p>
      <w:pPr>
        <w:pStyle w:val="12"/>
        <w:spacing w:line="360" w:lineRule="auto"/>
        <w:ind w:left="-140" w:firstLineChars="0"/>
      </w:pPr>
      <w:r>
        <w:rPr>
          <w:rFonts w:hint="eastAsia"/>
        </w:rPr>
        <w:t>租赁期内，场地外围所有广告位的使用权归甲方所有，如乙方需要使用，需向甲方提出书面申请（含广告效果图、装饰材料等），得到甲方同意后，方可在租赁场地门前及门前租赁物外墙悬挂招牌。部分广告点位如须租赁使用，则须另行签订广告点位租赁合同。</w:t>
      </w:r>
    </w:p>
    <w:p>
      <w:pPr>
        <w:pStyle w:val="12"/>
        <w:spacing w:line="360" w:lineRule="auto"/>
        <w:ind w:left="-140" w:firstLineChars="0"/>
      </w:pPr>
      <w:r>
        <w:rPr>
          <w:rFonts w:hint="eastAsia"/>
        </w:rPr>
        <w:t>租赁期限届满或提前终止时，租赁场地的装饰装修、改善增设他物的处理：已形成附和的装饰物、增设物（包括但不限于入墙、入地固定装修及移动后会破坏整体使用）外，乙方需按甲方要求，在5个工作日内（双方另有约定除外）恢复租赁场地原貌，将完整干净的场地交回甲方，恢复费用由乙方承担。超过规定时间或未达到甲方要求交回场地的，甲方有权继续按租赁费用标准的</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倍计收乙方场地占用费，直至场地达到移交条件为止。所有乙方的未形成添附的装饰装修物可由乙方在租赁期满后5个工作日内撤除清场，逾期未撤除视为乙方放弃，甲方有权做无主物处理。已形成添附的部分无条件归甲方所有。</w:t>
      </w:r>
    </w:p>
    <w:p>
      <w:pPr>
        <w:pStyle w:val="10"/>
        <w:spacing w:line="360" w:lineRule="auto"/>
      </w:pPr>
      <w:bookmarkStart w:id="33" w:name="_Toc19827"/>
      <w:bookmarkStart w:id="34" w:name="_Toc1336461007"/>
      <w:bookmarkStart w:id="35" w:name="_Toc75036170"/>
      <w:r>
        <w:rPr>
          <w:rFonts w:hint="eastAsia"/>
        </w:rPr>
        <w:t>甲方的权利、义务</w:t>
      </w:r>
      <w:bookmarkEnd w:id="33"/>
      <w:bookmarkEnd w:id="34"/>
      <w:bookmarkEnd w:id="35"/>
    </w:p>
    <w:p>
      <w:pPr>
        <w:pStyle w:val="12"/>
        <w:spacing w:line="360" w:lineRule="auto"/>
        <w:ind w:left="-140" w:firstLineChars="0"/>
      </w:pPr>
      <w:r>
        <w:rPr>
          <w:rFonts w:hint="eastAsia"/>
        </w:rPr>
        <w:t>甲方向乙方提供场地使用、消防许可证等相关文件，在整个租赁期限内资产使用权清晰无纠纷，确保乙方可以正常顺利使用场地。</w:t>
      </w:r>
    </w:p>
    <w:p>
      <w:pPr>
        <w:pStyle w:val="12"/>
        <w:spacing w:line="360" w:lineRule="auto"/>
        <w:ind w:left="-140" w:firstLineChars="0"/>
      </w:pPr>
      <w:r>
        <w:rPr>
          <w:rFonts w:hint="eastAsia"/>
        </w:rPr>
        <w:t>如遇非乙方的原因和责任，而是租赁场地自身出现结构安全问题而需大修时，甲方有义务联系施工方或供应商承担保修责任。为确保乙方及维修施工人员的人身及财产安全，甲方有权根据实际情况要求乙方在维修期间暂停使用并自行搬出租赁场地内的财物，但甲方应提前书面通知乙方。因施工停业导致甲方无法正常使用租赁场地的，按施工天数相应扣减乙方的租金及其他相关费用。</w:t>
      </w:r>
    </w:p>
    <w:p>
      <w:pPr>
        <w:pStyle w:val="12"/>
        <w:spacing w:line="360" w:lineRule="auto"/>
        <w:ind w:left="-140" w:firstLineChars="0"/>
      </w:pPr>
      <w:r>
        <w:rPr>
          <w:rFonts w:hint="eastAsia"/>
        </w:rPr>
        <w:t>甲方因维修养护与租赁场地共用的部位、共用设施设备而需要停水、停电、停止共用设施设备的使用且事先已告知乙方或其聘用人员的，乙方有义务配合，甲方无须因此承担补偿或赔偿责任。</w:t>
      </w:r>
    </w:p>
    <w:p>
      <w:pPr>
        <w:pStyle w:val="12"/>
        <w:spacing w:line="360" w:lineRule="auto"/>
        <w:ind w:left="-140" w:firstLineChars="0"/>
      </w:pPr>
      <w:r>
        <w:rPr>
          <w:rFonts w:hint="eastAsia"/>
        </w:rPr>
        <w:t>乙方延迟缴纳因租赁场地所产生的任何费用达到10个工作日，甲方有权对乙方采取必要的强制措施（包括但不限于：</w:t>
      </w:r>
      <w:r>
        <w:rPr>
          <w:rFonts w:hint="eastAsia"/>
          <w:lang w:val="en-US" w:eastAsia="zh-CN"/>
        </w:rPr>
        <w:t>暂停免费服务、</w:t>
      </w:r>
      <w:r>
        <w:rPr>
          <w:rFonts w:hint="eastAsia"/>
        </w:rPr>
        <w:t>断水、断电、锁闭租赁场地出入口、限制乙方搬走场地内物品等），由此导致的损失和费用由乙方承担。甲方不承担任何法律责任。</w:t>
      </w:r>
    </w:p>
    <w:p>
      <w:pPr>
        <w:pStyle w:val="12"/>
        <w:spacing w:line="360" w:lineRule="auto"/>
        <w:ind w:left="-140" w:firstLineChars="0"/>
      </w:pPr>
      <w:r>
        <w:rPr>
          <w:rFonts w:hint="eastAsia"/>
        </w:rPr>
        <w:t>甲方有权对乙方使用的场地进行安全检查，乙方应予以配合。对于违反安全法律法规的行为，甲方有权制止。</w:t>
      </w:r>
    </w:p>
    <w:p>
      <w:pPr>
        <w:pStyle w:val="12"/>
        <w:spacing w:line="360" w:lineRule="auto"/>
        <w:ind w:left="-140" w:firstLineChars="0"/>
      </w:pPr>
      <w:r>
        <w:rPr>
          <w:rFonts w:hint="eastAsia"/>
        </w:rPr>
        <w:t>除遇不可抗力及正常的检修外，甲方应保持租赁场地公共设备设施正常运行。</w:t>
      </w:r>
    </w:p>
    <w:p>
      <w:pPr>
        <w:pStyle w:val="12"/>
        <w:spacing w:line="360" w:lineRule="auto"/>
        <w:ind w:left="-140" w:firstLineChars="0"/>
        <w:rPr>
          <w:color w:val="FF0000"/>
        </w:rPr>
      </w:pPr>
      <w:r>
        <w:rPr>
          <w:rFonts w:hint="eastAsia"/>
        </w:rPr>
        <w:t>如发生意外事故或紧急情况（包括但不限于火灾、漏水、设备设施的严重损坏、盗窃、抢劫或有逃犯等）危及人员生命财产安全，或影响租赁场地整体建筑物的安全和正常运作的情况，甲方有权未经乙方同意而采取紧急避险行动（包括但不限于破门进入租赁区域排除险情、切断电力等），事后甲方应及时通知乙方，乙方应及时到达现场。如该紧急措施有利于保护乙方人员及财产的安全，则因采取该措施所造成门窗及锁具等设施的修复费用或乙方的其他损失由乙方自行承担。其他损失，视受益情况和过错责任等按法律规定分担。为了更好地遵守本条，乙方应将租赁场地内的安全系统设置及其性能等信息于安装使用后三日内告知甲方。</w:t>
      </w:r>
    </w:p>
    <w:p>
      <w:pPr>
        <w:rPr>
          <w:rFonts w:hint="default" w:ascii="Times New Roman" w:hAnsi="Times New Roman" w:eastAsia="宋体" w:cs="Times New Roman"/>
          <w:color w:val="FF0000"/>
          <w:kern w:val="2"/>
          <w:sz w:val="28"/>
          <w:szCs w:val="28"/>
          <w:lang w:val="en-US" w:eastAsia="zh-CN" w:bidi="ar-SA"/>
        </w:rPr>
      </w:pPr>
      <w:r>
        <w:rPr>
          <w:rFonts w:hint="eastAsia"/>
          <w:lang w:val="en-US" w:eastAsia="zh-CN"/>
        </w:rPr>
        <w:t xml:space="preserve">     </w:t>
      </w:r>
      <w:r>
        <w:rPr>
          <w:rFonts w:hint="eastAsia" w:ascii="Times New Roman" w:hAnsi="Times New Roman" w:eastAsia="宋体" w:cs="Times New Roman"/>
          <w:kern w:val="2"/>
          <w:sz w:val="28"/>
          <w:szCs w:val="28"/>
          <w:lang w:val="en-US" w:eastAsia="zh-CN" w:bidi="ar-SA"/>
        </w:rPr>
        <w:t>9.8</w:t>
      </w:r>
      <w:r>
        <w:rPr>
          <w:rFonts w:hint="eastAsia" w:cs="Times New Roman"/>
          <w:kern w:val="2"/>
          <w:sz w:val="28"/>
          <w:szCs w:val="28"/>
          <w:lang w:val="en-US" w:eastAsia="zh-CN" w:bidi="ar-SA"/>
        </w:rPr>
        <w:t xml:space="preserve"> </w:t>
      </w:r>
      <w:r>
        <w:rPr>
          <w:rFonts w:hint="eastAsia" w:cs="Times New Roman"/>
          <w:color w:val="FF0000"/>
          <w:kern w:val="2"/>
          <w:sz w:val="28"/>
          <w:szCs w:val="28"/>
          <w:lang w:val="en-US" w:eastAsia="zh-CN" w:bidi="ar-SA"/>
        </w:rPr>
        <w:t>租赁期内，乙方每年向甲方免费提供6场次场地使用权；中国—东盟博览会及东博会系列展会活动期间除外，不纳入免费场次范围。免费场地仅免收场地基础使用费，活动所产生的水电、保洁、搭建、安保、设备租赁等其他全部费用，均由甲方自行承担</w:t>
      </w:r>
      <w:bookmarkStart w:id="65" w:name="_GoBack"/>
      <w:bookmarkEnd w:id="65"/>
      <w:r>
        <w:rPr>
          <w:rFonts w:hint="eastAsia" w:cs="Times New Roman"/>
          <w:color w:val="FF0000"/>
          <w:kern w:val="2"/>
          <w:sz w:val="28"/>
          <w:szCs w:val="28"/>
          <w:lang w:val="en-US" w:eastAsia="zh-CN" w:bidi="ar-SA"/>
        </w:rPr>
        <w:t>。</w:t>
      </w:r>
    </w:p>
    <w:p>
      <w:pPr>
        <w:pStyle w:val="10"/>
        <w:spacing w:line="360" w:lineRule="auto"/>
      </w:pPr>
      <w:bookmarkStart w:id="36" w:name="_Toc1368680676"/>
      <w:bookmarkStart w:id="37" w:name="_Toc75036171"/>
      <w:bookmarkStart w:id="38" w:name="_Toc9944"/>
      <w:r>
        <w:rPr>
          <w:rFonts w:hint="eastAsia"/>
        </w:rPr>
        <w:t>乙方的权利、义务</w:t>
      </w:r>
      <w:bookmarkEnd w:id="36"/>
      <w:bookmarkEnd w:id="37"/>
      <w:bookmarkEnd w:id="38"/>
    </w:p>
    <w:p>
      <w:pPr>
        <w:pStyle w:val="12"/>
        <w:spacing w:line="360" w:lineRule="auto"/>
        <w:ind w:left="-140" w:firstLineChars="0"/>
      </w:pPr>
      <w:r>
        <w:rPr>
          <w:rFonts w:hint="eastAsia"/>
        </w:rPr>
        <w:t>乙方有权在租赁期间按照本</w:t>
      </w:r>
      <w:r>
        <w:rPr>
          <w:rFonts w:hint="eastAsia"/>
          <w:lang w:eastAsia="zh-CN"/>
        </w:rPr>
        <w:t>合同</w:t>
      </w:r>
      <w:r>
        <w:rPr>
          <w:rFonts w:hint="eastAsia"/>
        </w:rPr>
        <w:t>约定的用途合法使用租赁场地，自主使用、自负盈亏，乙方的合法行为不受甲方的干预。乙方租赁场地过程中与第三方发生的任何民事</w:t>
      </w:r>
      <w:r>
        <w:t>、刑事纠纷，由乙方负责解决。</w:t>
      </w:r>
    </w:p>
    <w:p>
      <w:pPr>
        <w:pStyle w:val="12"/>
        <w:spacing w:line="360" w:lineRule="auto"/>
        <w:ind w:left="-140" w:firstLineChars="0"/>
      </w:pPr>
      <w:r>
        <w:rPr>
          <w:rFonts w:hint="eastAsia"/>
        </w:rPr>
        <w:t>场地内的日常卫生、安全等运营维护、秩序维护工作由乙方负责，甲方有权监督、指导及要求整改。</w:t>
      </w:r>
    </w:p>
    <w:p>
      <w:pPr>
        <w:pStyle w:val="12"/>
        <w:spacing w:line="360" w:lineRule="auto"/>
        <w:ind w:left="-140" w:firstLineChars="0"/>
      </w:pPr>
      <w:r>
        <w:rPr>
          <w:rFonts w:hint="eastAsia"/>
        </w:rPr>
        <w:t>乙方应按本</w:t>
      </w:r>
      <w:r>
        <w:rPr>
          <w:rFonts w:hint="eastAsia"/>
          <w:lang w:eastAsia="zh-CN"/>
        </w:rPr>
        <w:t>合同</w:t>
      </w:r>
      <w:r>
        <w:rPr>
          <w:rFonts w:hint="eastAsia"/>
        </w:rPr>
        <w:t>约定按时足额向甲方支付租金及其他费用。</w:t>
      </w:r>
    </w:p>
    <w:p>
      <w:pPr>
        <w:pStyle w:val="12"/>
        <w:spacing w:line="360" w:lineRule="auto"/>
        <w:ind w:left="-140" w:firstLineChars="0"/>
      </w:pPr>
      <w:r>
        <w:rPr>
          <w:rFonts w:hint="eastAsia"/>
        </w:rPr>
        <w:t>在乙方租赁场地内发生非由于甲方疏忽或失职引起的人员伤亡、财产损失等事件，乙方应承担全部责任。</w:t>
      </w:r>
    </w:p>
    <w:p>
      <w:pPr>
        <w:pStyle w:val="12"/>
        <w:spacing w:line="360" w:lineRule="auto"/>
        <w:ind w:left="-140" w:firstLineChars="0"/>
      </w:pPr>
      <w:r>
        <w:rPr>
          <w:rFonts w:hint="eastAsia"/>
        </w:rPr>
        <w:t>乙方应严格执行有关安全规范及消防条例。乙方在租赁期内的一切活动，均应遵守本</w:t>
      </w:r>
      <w:r>
        <w:rPr>
          <w:rFonts w:hint="eastAsia"/>
          <w:lang w:eastAsia="zh-CN"/>
        </w:rPr>
        <w:t>合同</w:t>
      </w:r>
      <w:r>
        <w:rPr>
          <w:rFonts w:hint="eastAsia"/>
        </w:rPr>
        <w:t>的约定以及与甲方所制订的相关规范、制度。</w:t>
      </w:r>
    </w:p>
    <w:p>
      <w:pPr>
        <w:pStyle w:val="6"/>
        <w:spacing w:line="360" w:lineRule="auto"/>
        <w:ind w:firstLine="560"/>
      </w:pPr>
      <w:r>
        <w:rPr>
          <w:rFonts w:hint="eastAsia"/>
        </w:rPr>
        <w:t>根据我国《中华人民共和国民法典》、《中华人民共和国消防法》、《广西壮族自治区实施</w:t>
      </w:r>
      <w:r>
        <w:t>&lt;</w:t>
      </w:r>
      <w:r>
        <w:rPr>
          <w:rFonts w:hint="eastAsia"/>
        </w:rPr>
        <w:t>中华人民共和国消防法</w:t>
      </w:r>
      <w:r>
        <w:t>&gt;</w:t>
      </w:r>
      <w:r>
        <w:rPr>
          <w:rFonts w:hint="eastAsia"/>
        </w:rPr>
        <w:t>办法》等法律法规的规定及本</w:t>
      </w:r>
      <w:r>
        <w:rPr>
          <w:rFonts w:hint="eastAsia"/>
          <w:lang w:eastAsia="zh-CN"/>
        </w:rPr>
        <w:t>合同</w:t>
      </w:r>
      <w:r>
        <w:rPr>
          <w:rFonts w:hint="eastAsia"/>
        </w:rPr>
        <w:t>的约定，乙方对租赁场地及其附属设施设备均负有安全保障和管理的义务，乙方是租场场地及其附属设施设备安全保障和管理的责任人。</w:t>
      </w:r>
    </w:p>
    <w:p>
      <w:pPr>
        <w:pStyle w:val="6"/>
        <w:spacing w:line="360" w:lineRule="auto"/>
        <w:ind w:firstLine="560"/>
      </w:pPr>
      <w:r>
        <w:rPr>
          <w:rFonts w:hint="eastAsia"/>
        </w:rPr>
        <w:t>租赁期间，乙方应</w:t>
      </w:r>
      <w:r>
        <w:t>在甲方现有的设备配备下</w:t>
      </w:r>
      <w:r>
        <w:rPr>
          <w:rFonts w:hint="eastAsia"/>
        </w:rPr>
        <w:t>规范</w:t>
      </w:r>
      <w:r>
        <w:t>安全节约</w:t>
      </w:r>
      <w:r>
        <w:rPr>
          <w:rFonts w:hint="eastAsia"/>
        </w:rPr>
        <w:t>用电，乙方对租赁场地所安装、使用的全部电气线路、设施设备承担全部安全责任。</w:t>
      </w:r>
    </w:p>
    <w:p>
      <w:pPr>
        <w:pStyle w:val="6"/>
        <w:spacing w:line="360" w:lineRule="auto"/>
        <w:ind w:firstLine="560"/>
      </w:pPr>
      <w:r>
        <w:rPr>
          <w:rFonts w:hint="eastAsia"/>
        </w:rPr>
        <w:t>乙方及其人员应认真学习、贯彻、执行《中华人民共和国民法典》、《中华人民共和国消防法》、《广西壮族自治区实施&lt;中华人民共和国消防法&gt;办法》及其他消防法律、法规、政策。学习掌握并认真履行双方签订的有关场地维修维护、装饰装修、使用安全等方面的约定条款。认真学习消防部门和甲方发放的各类消防安全宣传资料，自觉接受消防部门和甲方的消防安全检查，并按照要求把有关消防安全措施落实到位。</w:t>
      </w:r>
    </w:p>
    <w:p>
      <w:pPr>
        <w:pStyle w:val="12"/>
        <w:spacing w:line="360" w:lineRule="auto"/>
        <w:ind w:left="-140" w:firstLineChars="0"/>
      </w:pPr>
      <w:r>
        <w:rPr>
          <w:rFonts w:hint="eastAsia"/>
        </w:rPr>
        <w:t>乙方可在甲方书面许可的区域悬挂其名称的标牌，但未经甲方事先书面许可，乙方不得在租赁场地门外的任何公共区域悬挂任何广告招牌或海报。</w:t>
      </w:r>
    </w:p>
    <w:p>
      <w:pPr>
        <w:pStyle w:val="12"/>
        <w:spacing w:line="360" w:lineRule="auto"/>
        <w:ind w:left="-140" w:firstLineChars="0"/>
      </w:pPr>
      <w:r>
        <w:rPr>
          <w:rFonts w:hint="eastAsia"/>
        </w:rPr>
        <w:t>在租赁场地内，乙方的代理人、雇员、被许可人在工作时间或经乙方授权所从事的行为均被视为乙方本身的行为，由乙方对其行为承担责任。前述人员给甲方造成损失的, 乙方应当负责全额赔偿给甲方。</w:t>
      </w:r>
    </w:p>
    <w:p>
      <w:pPr>
        <w:pStyle w:val="12"/>
        <w:spacing w:line="360" w:lineRule="auto"/>
        <w:ind w:left="-140" w:firstLineChars="0"/>
      </w:pPr>
      <w:r>
        <w:rPr>
          <w:rFonts w:hint="eastAsia"/>
        </w:rPr>
        <w:t>乙方在其对外宣传中，不得宣称或令其他第三方误认为其与甲方关系属合作、合营、合伙、联营或关联企业关系。</w:t>
      </w:r>
    </w:p>
    <w:p>
      <w:pPr>
        <w:pStyle w:val="12"/>
        <w:spacing w:line="360" w:lineRule="auto"/>
        <w:ind w:left="-140" w:firstLineChars="0"/>
      </w:pPr>
      <w:r>
        <w:rPr>
          <w:rFonts w:hint="eastAsia"/>
        </w:rPr>
        <w:t>乙方须以合理措施保护租赁场地及其设备设施完好无损及整洁（自然损耗除外），包括但不限于在暴风雨到来之前采取一切适当措施，保护该场地的内部不受损害。乙方须对租赁场地或其设备设施出现的毁损、租赁场地内发生的因盗窃、水灾、火灾、爆炸等事件或自然灾害或自有设备设施的损毁、以及乙方和乙方关联第三方造成的人身损害、财产或其他损失负责，并赔偿甲方的损失，乙方保证甲方不需对此负任何法律责任。</w:t>
      </w:r>
    </w:p>
    <w:p>
      <w:pPr>
        <w:pStyle w:val="12"/>
        <w:spacing w:line="360" w:lineRule="auto"/>
        <w:ind w:left="-140" w:firstLineChars="0"/>
      </w:pPr>
      <w:r>
        <w:rPr>
          <w:rFonts w:hint="eastAsia"/>
        </w:rPr>
        <w:t>非经甲方事先书面同意且不论乙方是否因此获得任何利益，乙方不得将租赁场地转租、分租或调换给他人使用，不得以其他方式将租赁场地转手或与他人共同占用租赁场地。</w:t>
      </w:r>
    </w:p>
    <w:p>
      <w:pPr>
        <w:pStyle w:val="12"/>
        <w:spacing w:line="360" w:lineRule="auto"/>
        <w:ind w:left="-140" w:firstLineChars="0"/>
      </w:pPr>
      <w:r>
        <w:rPr>
          <w:rFonts w:hint="eastAsia"/>
        </w:rPr>
        <w:t>租赁期内，乙方保证其在租赁场地内的一切活动符合中华人民共和国法律法规的规定，遵守租赁场地的规章制度，不得有下列行为：</w:t>
      </w:r>
    </w:p>
    <w:p>
      <w:pPr>
        <w:pStyle w:val="6"/>
        <w:spacing w:line="360" w:lineRule="auto"/>
        <w:ind w:firstLine="560"/>
      </w:pPr>
      <w:r>
        <w:rPr>
          <w:rFonts w:hint="eastAsia"/>
        </w:rPr>
        <w:t>扰乱正常秩序或干扰甲方、其他租户或使用者。</w:t>
      </w:r>
    </w:p>
    <w:p>
      <w:pPr>
        <w:pStyle w:val="6"/>
        <w:spacing w:line="360" w:lineRule="auto"/>
        <w:ind w:firstLine="560"/>
      </w:pPr>
      <w:r>
        <w:rPr>
          <w:rFonts w:hint="eastAsia"/>
        </w:rPr>
        <w:t>占用或阻塞租赁场地以外的任何部位。</w:t>
      </w:r>
    </w:p>
    <w:p>
      <w:pPr>
        <w:pStyle w:val="6"/>
        <w:spacing w:line="360" w:lineRule="auto"/>
        <w:ind w:firstLine="560"/>
      </w:pPr>
      <w:r>
        <w:rPr>
          <w:rFonts w:hint="eastAsia"/>
        </w:rPr>
        <w:t xml:space="preserve">破坏租赁场地或其主体结构、设备设施。 </w:t>
      </w:r>
    </w:p>
    <w:p>
      <w:pPr>
        <w:pStyle w:val="6"/>
        <w:spacing w:line="360" w:lineRule="auto"/>
        <w:ind w:firstLine="560"/>
      </w:pPr>
      <w:r>
        <w:rPr>
          <w:rFonts w:hint="eastAsia"/>
        </w:rPr>
        <w:t>在租赁场地内</w:t>
      </w:r>
      <w:r>
        <w:rPr>
          <w:rFonts w:hint="eastAsia"/>
          <w:lang w:val="en-US" w:eastAsia="zh-CN"/>
        </w:rPr>
        <w:t>使用明火</w:t>
      </w:r>
      <w:r>
        <w:rPr>
          <w:rFonts w:hint="eastAsia"/>
        </w:rPr>
        <w:t>烹煮食物（微波炉或电咖啡壶的简单使用除外）。</w:t>
      </w:r>
    </w:p>
    <w:p>
      <w:pPr>
        <w:pStyle w:val="6"/>
        <w:spacing w:line="360" w:lineRule="auto"/>
        <w:ind w:firstLine="560"/>
      </w:pPr>
      <w:r>
        <w:rPr>
          <w:rFonts w:hint="eastAsia"/>
        </w:rPr>
        <w:t>在租赁场地内存放武器、弹药、硝石、液化石油气、罐装煤气、火油及其他易燃、易爆、危险物品。</w:t>
      </w:r>
    </w:p>
    <w:p>
      <w:pPr>
        <w:pStyle w:val="6"/>
        <w:spacing w:line="360" w:lineRule="auto"/>
        <w:ind w:firstLine="560"/>
      </w:pPr>
      <w:r>
        <w:rPr>
          <w:rFonts w:hint="eastAsia"/>
        </w:rPr>
        <w:t>在租赁场地内存放活的动物、废物、垃圾及散发异味的物品（临时、少量的除外</w:t>
      </w:r>
      <w:r>
        <w:rPr>
          <w:rFonts w:hint="eastAsia"/>
          <w:lang w:eastAsia="zh-CN"/>
        </w:rPr>
        <w:t>，</w:t>
      </w:r>
      <w:r>
        <w:rPr>
          <w:rFonts w:hint="eastAsia"/>
          <w:lang w:val="en-US" w:eastAsia="zh-CN"/>
        </w:rPr>
        <w:t>请放置提醒告知</w:t>
      </w:r>
      <w:r>
        <w:rPr>
          <w:rFonts w:hint="eastAsia"/>
        </w:rPr>
        <w:t>）。</w:t>
      </w:r>
    </w:p>
    <w:p>
      <w:pPr>
        <w:pStyle w:val="6"/>
        <w:spacing w:line="360" w:lineRule="auto"/>
        <w:ind w:firstLine="560"/>
      </w:pPr>
      <w:r>
        <w:rPr>
          <w:rFonts w:hint="eastAsia"/>
        </w:rPr>
        <w:t>未经甲方事先书面同意，干扰防盗警报或火警警报系统的正常使用或将甲方预设以外的装置连接防盗警报或火警警报系统。</w:t>
      </w:r>
    </w:p>
    <w:p>
      <w:pPr>
        <w:pStyle w:val="6"/>
        <w:spacing w:line="360" w:lineRule="auto"/>
        <w:ind w:firstLine="560"/>
      </w:pPr>
      <w:r>
        <w:rPr>
          <w:rFonts w:hint="eastAsia"/>
        </w:rPr>
        <w:t>乙方或乙方人员的行为不正当地针对甲方或甲方相关人员、组织。</w:t>
      </w:r>
    </w:p>
    <w:p>
      <w:pPr>
        <w:pStyle w:val="6"/>
        <w:spacing w:line="360" w:lineRule="auto"/>
        <w:ind w:firstLine="560"/>
      </w:pPr>
      <w:r>
        <w:rPr>
          <w:rFonts w:hint="eastAsia"/>
        </w:rPr>
        <w:t>乙方或乙方人员在租赁场地内从事违法、犯罪或其他不适当的活动。</w:t>
      </w:r>
    </w:p>
    <w:p>
      <w:pPr>
        <w:pStyle w:val="6"/>
        <w:spacing w:line="360" w:lineRule="auto"/>
        <w:ind w:firstLine="560"/>
      </w:pPr>
      <w:r>
        <w:rPr>
          <w:rFonts w:hint="eastAsia"/>
        </w:rPr>
        <w:t>在租赁场地内饲养家禽、动物。</w:t>
      </w:r>
    </w:p>
    <w:p>
      <w:pPr>
        <w:pStyle w:val="6"/>
        <w:spacing w:line="360" w:lineRule="auto"/>
        <w:ind w:firstLine="560"/>
      </w:pPr>
      <w:r>
        <w:rPr>
          <w:rFonts w:hint="eastAsia"/>
        </w:rPr>
        <w:t>其他违法行为。</w:t>
      </w:r>
    </w:p>
    <w:p>
      <w:pPr>
        <w:pStyle w:val="12"/>
        <w:spacing w:line="360" w:lineRule="auto"/>
        <w:ind w:left="-140" w:firstLineChars="0"/>
      </w:pPr>
      <w:r>
        <w:rPr>
          <w:rFonts w:hint="eastAsia"/>
        </w:rPr>
        <w:t>乙方应保持租赁场地内的整洁，将垃圾放置至甲方指定的地点。</w:t>
      </w:r>
    </w:p>
    <w:p>
      <w:pPr>
        <w:pStyle w:val="12"/>
        <w:spacing w:line="360" w:lineRule="auto"/>
        <w:ind w:left="-140" w:firstLineChars="0"/>
      </w:pPr>
      <w:r>
        <w:rPr>
          <w:rFonts w:hint="eastAsia"/>
        </w:rPr>
        <w:t>乙方应自行申请并取得法律法规规定开展业务活动所需的一切许可和批准。如乙方签署本</w:t>
      </w:r>
      <w:r>
        <w:rPr>
          <w:rFonts w:hint="eastAsia"/>
          <w:lang w:eastAsia="zh-CN"/>
        </w:rPr>
        <w:t>合同</w:t>
      </w:r>
      <w:r>
        <w:rPr>
          <w:rFonts w:hint="eastAsia"/>
        </w:rPr>
        <w:t>时未向甲方提交工商、社团或其他登记文件（具体提交文件视乙方组织性质而定）的，乙方应于本</w:t>
      </w:r>
      <w:r>
        <w:rPr>
          <w:rFonts w:hint="eastAsia"/>
          <w:lang w:eastAsia="zh-CN"/>
        </w:rPr>
        <w:t>合同</w:t>
      </w:r>
      <w:r>
        <w:rPr>
          <w:rFonts w:hint="eastAsia"/>
        </w:rPr>
        <w:t>租赁期开始之日起三个月内向有关政府部门申报领取</w:t>
      </w:r>
      <w:r>
        <w:rPr>
          <w:rFonts w:hint="eastAsia"/>
          <w:lang w:val="en-US" w:eastAsia="zh-CN"/>
        </w:rPr>
        <w:t>或变更</w:t>
      </w:r>
      <w:r>
        <w:rPr>
          <w:rFonts w:hint="eastAsia"/>
        </w:rPr>
        <w:t>营业执照</w:t>
      </w:r>
      <w:r>
        <w:rPr>
          <w:rFonts w:hint="eastAsia"/>
          <w:lang w:eastAsia="zh-CN"/>
        </w:rPr>
        <w:t>、</w:t>
      </w:r>
      <w:r>
        <w:rPr>
          <w:rFonts w:hint="eastAsia"/>
        </w:rPr>
        <w:t>其他登记文件，并将其复印件交甲方存档，该等证件上显示的名称应与乙方的名称一致。租赁期限内，乙方应保持该等证件的有效性。如乙方未能如期取得营业执照或其他登记文件，甲方有权单方解除本</w:t>
      </w:r>
      <w:r>
        <w:rPr>
          <w:rFonts w:hint="eastAsia"/>
          <w:lang w:eastAsia="zh-CN"/>
        </w:rPr>
        <w:t>合同</w:t>
      </w:r>
      <w:r>
        <w:rPr>
          <w:rFonts w:hint="eastAsia"/>
        </w:rPr>
        <w:t>，且甲方不对此承担任何违约责任。</w:t>
      </w:r>
    </w:p>
    <w:p>
      <w:pPr>
        <w:pStyle w:val="10"/>
        <w:spacing w:line="360" w:lineRule="auto"/>
      </w:pPr>
      <w:bookmarkStart w:id="39" w:name="_Toc1718778515"/>
      <w:bookmarkStart w:id="40" w:name="_Toc2154"/>
      <w:bookmarkStart w:id="41" w:name="_Toc75036172"/>
      <w:r>
        <w:rPr>
          <w:rFonts w:hint="eastAsia"/>
          <w:lang w:eastAsia="zh-CN"/>
        </w:rPr>
        <w:t>合同</w:t>
      </w:r>
      <w:r>
        <w:rPr>
          <w:rFonts w:hint="eastAsia"/>
        </w:rPr>
        <w:t>的解除</w:t>
      </w:r>
      <w:bookmarkEnd w:id="39"/>
      <w:bookmarkEnd w:id="40"/>
      <w:bookmarkEnd w:id="41"/>
    </w:p>
    <w:p>
      <w:pPr>
        <w:pStyle w:val="12"/>
        <w:spacing w:line="360" w:lineRule="auto"/>
        <w:ind w:left="-140" w:firstLineChars="0"/>
      </w:pPr>
      <w:r>
        <w:rPr>
          <w:rFonts w:hint="eastAsia"/>
        </w:rPr>
        <w:t>有下列情形之一的，甲方有权单方解除本</w:t>
      </w:r>
      <w:r>
        <w:rPr>
          <w:rFonts w:hint="eastAsia"/>
          <w:lang w:eastAsia="zh-CN"/>
        </w:rPr>
        <w:t>合同</w:t>
      </w:r>
      <w:r>
        <w:rPr>
          <w:rFonts w:hint="eastAsia"/>
        </w:rPr>
        <w:t>：</w:t>
      </w:r>
    </w:p>
    <w:p>
      <w:pPr>
        <w:pStyle w:val="6"/>
        <w:spacing w:line="360" w:lineRule="auto"/>
        <w:ind w:firstLine="560"/>
      </w:pPr>
      <w:r>
        <w:rPr>
          <w:rFonts w:hint="eastAsia"/>
        </w:rPr>
        <w:t>乙方未按约定按时足额缴纳租金或其他费用达</w:t>
      </w:r>
      <w:r>
        <w:rPr>
          <w:rFonts w:hint="eastAsia"/>
          <w:u w:val="single"/>
          <w:lang w:val="en-US" w:eastAsia="zh-CN"/>
        </w:rPr>
        <w:t xml:space="preserve"> 10 </w:t>
      </w:r>
      <w:r>
        <w:rPr>
          <w:rFonts w:hint="eastAsia"/>
          <w:u w:val="single"/>
        </w:rPr>
        <w:t>个工作日</w:t>
      </w:r>
      <w:r>
        <w:rPr>
          <w:rFonts w:hint="eastAsia"/>
        </w:rPr>
        <w:t>。</w:t>
      </w:r>
    </w:p>
    <w:p>
      <w:pPr>
        <w:pStyle w:val="6"/>
        <w:spacing w:line="360" w:lineRule="auto"/>
        <w:ind w:firstLine="560"/>
      </w:pPr>
      <w:r>
        <w:rPr>
          <w:rFonts w:hint="eastAsia"/>
          <w:lang w:val="en-US" w:eastAsia="zh-CN"/>
        </w:rPr>
        <w:t>乙方未在约定装修期内完成装修、未能按约定时间达成营业条件的。</w:t>
      </w:r>
    </w:p>
    <w:p>
      <w:pPr>
        <w:pStyle w:val="6"/>
        <w:spacing w:line="360" w:lineRule="auto"/>
        <w:ind w:firstLine="560"/>
      </w:pPr>
      <w:r>
        <w:rPr>
          <w:rFonts w:hint="eastAsia"/>
        </w:rPr>
        <w:t>乙方累计所欠各项费用已达</w:t>
      </w:r>
      <w:r>
        <w:rPr>
          <w:rFonts w:hint="eastAsia"/>
          <w:u w:val="single"/>
        </w:rPr>
        <w:t xml:space="preserve">一个月租金 </w:t>
      </w:r>
      <w:r>
        <w:rPr>
          <w:rFonts w:hint="eastAsia"/>
        </w:rPr>
        <w:t>。</w:t>
      </w:r>
    </w:p>
    <w:p>
      <w:pPr>
        <w:pStyle w:val="6"/>
        <w:spacing w:line="360" w:lineRule="auto"/>
        <w:ind w:firstLine="560"/>
      </w:pPr>
      <w:r>
        <w:rPr>
          <w:rFonts w:hint="eastAsia"/>
        </w:rPr>
        <w:t>未经甲方同意，乙方擅自改变租赁场地用途。</w:t>
      </w:r>
    </w:p>
    <w:p>
      <w:pPr>
        <w:pStyle w:val="6"/>
        <w:spacing w:line="360" w:lineRule="auto"/>
        <w:ind w:firstLine="560"/>
      </w:pPr>
      <w:r>
        <w:rPr>
          <w:rFonts w:hint="eastAsia"/>
        </w:rPr>
        <w:t>因乙方原因致使租赁场地、设施、设备、器材严重损坏的。</w:t>
      </w:r>
    </w:p>
    <w:p>
      <w:pPr>
        <w:pStyle w:val="6"/>
        <w:spacing w:line="360" w:lineRule="auto"/>
        <w:ind w:firstLine="560"/>
      </w:pPr>
      <w:r>
        <w:rPr>
          <w:rFonts w:hint="eastAsia"/>
        </w:rPr>
        <w:t>未经甲方书面同意，乙方对租赁场地进行装饰装修的。</w:t>
      </w:r>
    </w:p>
    <w:p>
      <w:pPr>
        <w:pStyle w:val="6"/>
        <w:spacing w:line="360" w:lineRule="auto"/>
        <w:ind w:firstLine="560"/>
      </w:pPr>
      <w:r>
        <w:rPr>
          <w:rFonts w:hint="eastAsia"/>
        </w:rPr>
        <w:t>未经甲方书面同意，乙方将租赁场地转租、转借第三人的。</w:t>
      </w:r>
    </w:p>
    <w:p>
      <w:pPr>
        <w:pStyle w:val="6"/>
        <w:spacing w:line="360" w:lineRule="auto"/>
        <w:ind w:firstLine="560"/>
      </w:pPr>
      <w:r>
        <w:rPr>
          <w:rFonts w:hint="eastAsia"/>
        </w:rPr>
        <w:t>乙方在租赁场地进行违法违规活动的。</w:t>
      </w:r>
    </w:p>
    <w:p>
      <w:pPr>
        <w:pStyle w:val="6"/>
        <w:spacing w:line="360" w:lineRule="auto"/>
        <w:ind w:firstLine="560"/>
      </w:pPr>
      <w:r>
        <w:rPr>
          <w:rFonts w:hint="eastAsia"/>
        </w:rPr>
        <w:t>乙方未做好租赁场地的消防管理、安全防范工作，导致安全事故发生的。</w:t>
      </w:r>
    </w:p>
    <w:p>
      <w:pPr>
        <w:pStyle w:val="6"/>
        <w:spacing w:line="360" w:lineRule="auto"/>
        <w:ind w:firstLine="560"/>
      </w:pPr>
      <w:r>
        <w:rPr>
          <w:rFonts w:hint="eastAsia"/>
        </w:rPr>
        <w:t>乙方使用租赁场地过程中出现违约行为，未按甲方要求或未在甲方要求的期限内整改的。</w:t>
      </w:r>
    </w:p>
    <w:p>
      <w:pPr>
        <w:pStyle w:val="12"/>
        <w:spacing w:line="360" w:lineRule="auto"/>
        <w:ind w:left="-140" w:firstLineChars="0"/>
      </w:pPr>
      <w:r>
        <w:rPr>
          <w:rFonts w:hint="eastAsia"/>
        </w:rPr>
        <w:t>有下列情形之一的，乙方有权单方解除本</w:t>
      </w:r>
      <w:r>
        <w:rPr>
          <w:rFonts w:hint="eastAsia"/>
          <w:lang w:eastAsia="zh-CN"/>
        </w:rPr>
        <w:t>合同</w:t>
      </w:r>
      <w:r>
        <w:rPr>
          <w:rFonts w:hint="eastAsia"/>
        </w:rPr>
        <w:t>：</w:t>
      </w:r>
    </w:p>
    <w:p>
      <w:pPr>
        <w:pStyle w:val="6"/>
        <w:spacing w:line="360" w:lineRule="auto"/>
        <w:ind w:firstLine="560"/>
      </w:pPr>
      <w:r>
        <w:rPr>
          <w:rFonts w:hint="eastAsia"/>
        </w:rPr>
        <w:t>租赁场地权属瑕疵，导致乙方不能正常使用的。</w:t>
      </w:r>
    </w:p>
    <w:p>
      <w:pPr>
        <w:pStyle w:val="6"/>
        <w:spacing w:line="360" w:lineRule="auto"/>
        <w:ind w:firstLine="560"/>
      </w:pPr>
      <w:r>
        <w:rPr>
          <w:rFonts w:hint="eastAsia"/>
        </w:rPr>
        <w:t>甲方迟延交付租赁场地</w:t>
      </w:r>
      <w:r>
        <w:rPr>
          <w:rFonts w:hint="eastAsia"/>
          <w:lang w:val="en-US" w:eastAsia="zh-CN"/>
        </w:rPr>
        <w:t>超过</w:t>
      </w:r>
      <w:r>
        <w:rPr>
          <w:u w:val="single"/>
        </w:rPr>
        <w:t>1</w:t>
      </w:r>
      <w:r>
        <w:rPr>
          <w:rFonts w:hint="eastAsia"/>
        </w:rPr>
        <w:t>个月的。</w:t>
      </w:r>
    </w:p>
    <w:p>
      <w:pPr>
        <w:pStyle w:val="6"/>
        <w:spacing w:line="360" w:lineRule="auto"/>
        <w:ind w:firstLine="560"/>
      </w:pPr>
      <w:r>
        <w:rPr>
          <w:rFonts w:hint="eastAsia"/>
        </w:rPr>
        <w:t>甲方违反本</w:t>
      </w:r>
      <w:r>
        <w:rPr>
          <w:rFonts w:hint="eastAsia"/>
          <w:lang w:eastAsia="zh-CN"/>
        </w:rPr>
        <w:t>合同</w:t>
      </w:r>
      <w:r>
        <w:rPr>
          <w:rFonts w:hint="eastAsia"/>
        </w:rPr>
        <w:t>约定，不承担维修维护责任或出现危及乙方及其人员人身安全的情形，致使乙方无法继续使用租赁场地的。</w:t>
      </w:r>
    </w:p>
    <w:p>
      <w:pPr>
        <w:pStyle w:val="12"/>
        <w:spacing w:line="360" w:lineRule="auto"/>
        <w:ind w:left="-140" w:firstLineChars="0"/>
      </w:pPr>
      <w:r>
        <w:rPr>
          <w:rFonts w:hint="eastAsia"/>
        </w:rPr>
        <w:t>本</w:t>
      </w:r>
      <w:r>
        <w:rPr>
          <w:rFonts w:hint="eastAsia"/>
          <w:lang w:eastAsia="zh-CN"/>
        </w:rPr>
        <w:t>合同</w:t>
      </w:r>
      <w:r>
        <w:rPr>
          <w:rFonts w:hint="eastAsia"/>
        </w:rPr>
        <w:t>约定或法定解除的事由发生，一方需解除本</w:t>
      </w:r>
      <w:r>
        <w:rPr>
          <w:rFonts w:hint="eastAsia"/>
          <w:lang w:eastAsia="zh-CN"/>
        </w:rPr>
        <w:t>合同</w:t>
      </w:r>
      <w:r>
        <w:rPr>
          <w:rFonts w:hint="eastAsia"/>
        </w:rPr>
        <w:t>的，应向对方送达《解除</w:t>
      </w:r>
      <w:r>
        <w:rPr>
          <w:rFonts w:hint="eastAsia"/>
          <w:lang w:eastAsia="zh-CN"/>
        </w:rPr>
        <w:t>合同</w:t>
      </w:r>
      <w:r>
        <w:rPr>
          <w:rFonts w:hint="eastAsia"/>
        </w:rPr>
        <w:t>通知书》，通知书送达对方时本</w:t>
      </w:r>
      <w:r>
        <w:rPr>
          <w:rFonts w:hint="eastAsia"/>
          <w:lang w:eastAsia="zh-CN"/>
        </w:rPr>
        <w:t>合同</w:t>
      </w:r>
      <w:r>
        <w:rPr>
          <w:rFonts w:hint="eastAsia"/>
        </w:rPr>
        <w:t>即行解除。本合同所载明的乙方的通讯地址、联系电话、专用邮箱等双方往来的沟通渠道，即为乙双方指定的文书、通知等（包括但不限于催缴函、解除合同通知书、法院一二审及执行法律文书等）的合法有效的送达地址。如乙方相关地址、联系电话及专用邮箱等发生变更的，乙方应于变更前3个工作日内以书面形式通知甲方。否则，因此导致相关文书送达不能的风险由乙方自行承担。</w:t>
      </w:r>
    </w:p>
    <w:p>
      <w:pPr>
        <w:pStyle w:val="12"/>
        <w:numPr>
          <w:ilvl w:val="255"/>
          <w:numId w:val="0"/>
        </w:numPr>
        <w:spacing w:line="360" w:lineRule="auto"/>
      </w:pPr>
      <w:r>
        <w:rPr>
          <w:rFonts w:hint="eastAsia"/>
        </w:rPr>
        <w:t>甲方通讯地址：广西南宁市青秀区民族大道106号C区行政综合楼3楼320综合管理部办公室，电话： 0771-2092268 。</w:t>
      </w:r>
    </w:p>
    <w:p>
      <w:pPr>
        <w:pStyle w:val="12"/>
        <w:numPr>
          <w:ilvl w:val="255"/>
          <w:numId w:val="0"/>
        </w:numPr>
        <w:spacing w:line="360" w:lineRule="auto"/>
        <w:rPr>
          <w:u w:val="single"/>
        </w:rPr>
      </w:pPr>
      <w:r>
        <w:rPr>
          <w:rFonts w:hint="eastAsia"/>
        </w:rPr>
        <w:t>乙方通讯地址：</w:t>
      </w:r>
      <w:r>
        <w:rPr>
          <w:rFonts w:hint="eastAsia"/>
          <w:u w:val="single"/>
        </w:rPr>
        <w:t xml:space="preserve">                              </w:t>
      </w:r>
      <w:r>
        <w:rPr>
          <w:rFonts w:hint="eastAsia"/>
        </w:rPr>
        <w:t>，电话：</w:t>
      </w:r>
      <w:r>
        <w:rPr>
          <w:rFonts w:hint="eastAsia"/>
          <w:u w:val="single"/>
        </w:rPr>
        <w:t xml:space="preserve">      </w:t>
      </w:r>
    </w:p>
    <w:p>
      <w:pPr>
        <w:pStyle w:val="10"/>
        <w:spacing w:line="360" w:lineRule="auto"/>
      </w:pPr>
      <w:bookmarkStart w:id="42" w:name="_Toc1707965808"/>
      <w:bookmarkStart w:id="43" w:name="_Toc22176"/>
      <w:bookmarkStart w:id="44" w:name="_Toc75036173"/>
      <w:r>
        <w:rPr>
          <w:rFonts w:hint="eastAsia"/>
        </w:rPr>
        <w:t>租赁场地的转租、转让</w:t>
      </w:r>
      <w:bookmarkEnd w:id="42"/>
      <w:bookmarkEnd w:id="43"/>
      <w:bookmarkEnd w:id="44"/>
    </w:p>
    <w:p>
      <w:pPr>
        <w:pStyle w:val="12"/>
        <w:spacing w:line="360" w:lineRule="auto"/>
        <w:ind w:left="-140" w:firstLineChars="0"/>
      </w:pPr>
      <w:r>
        <w:rPr>
          <w:rFonts w:hint="eastAsia"/>
        </w:rPr>
        <w:t>租赁期间，乙方对租赁场地享有使用权，但未经甲方书面许可，乙方不得将场地转租、转让给任何第三方。</w:t>
      </w:r>
    </w:p>
    <w:p>
      <w:pPr>
        <w:pStyle w:val="12"/>
        <w:spacing w:line="360" w:lineRule="auto"/>
        <w:ind w:left="-140" w:firstLineChars="0"/>
      </w:pPr>
      <w:r>
        <w:rPr>
          <w:rFonts w:hint="eastAsia"/>
        </w:rPr>
        <w:t>甲方同意乙方转租的，乙方应向次承租人披露本</w:t>
      </w:r>
      <w:r>
        <w:rPr>
          <w:rFonts w:hint="eastAsia"/>
          <w:lang w:eastAsia="zh-CN"/>
        </w:rPr>
        <w:t>合同</w:t>
      </w:r>
      <w:r>
        <w:rPr>
          <w:rFonts w:hint="eastAsia"/>
        </w:rPr>
        <w:t>条款，次承租人违反本</w:t>
      </w:r>
      <w:r>
        <w:rPr>
          <w:rFonts w:hint="eastAsia"/>
          <w:lang w:eastAsia="zh-CN"/>
        </w:rPr>
        <w:t>合同</w:t>
      </w:r>
      <w:r>
        <w:rPr>
          <w:rFonts w:hint="eastAsia"/>
        </w:rPr>
        <w:t>的约定的，乙方负连带责任。因次承租人违反本</w:t>
      </w:r>
      <w:r>
        <w:rPr>
          <w:rFonts w:hint="eastAsia"/>
          <w:lang w:eastAsia="zh-CN"/>
        </w:rPr>
        <w:t>合同</w:t>
      </w:r>
      <w:r>
        <w:rPr>
          <w:rFonts w:hint="eastAsia"/>
        </w:rPr>
        <w:t>的约定造成甲方损失的，乙方负连带责任。</w:t>
      </w:r>
    </w:p>
    <w:p>
      <w:pPr>
        <w:pStyle w:val="12"/>
        <w:spacing w:line="360" w:lineRule="auto"/>
        <w:ind w:left="-140" w:firstLineChars="0"/>
      </w:pPr>
      <w:r>
        <w:rPr>
          <w:rFonts w:hint="eastAsia"/>
        </w:rPr>
        <w:t>乙方与次承租人约定的租赁期不得超过本</w:t>
      </w:r>
      <w:r>
        <w:rPr>
          <w:rFonts w:hint="eastAsia"/>
          <w:lang w:eastAsia="zh-CN"/>
        </w:rPr>
        <w:t>合同</w:t>
      </w:r>
      <w:r>
        <w:rPr>
          <w:rFonts w:hint="eastAsia"/>
        </w:rPr>
        <w:t>约定的租赁期，超过部分无效；乙方与次承租人约定的转租合同条款不得与本</w:t>
      </w:r>
      <w:r>
        <w:rPr>
          <w:rFonts w:hint="eastAsia"/>
          <w:lang w:eastAsia="zh-CN"/>
        </w:rPr>
        <w:t>合同</w:t>
      </w:r>
      <w:r>
        <w:rPr>
          <w:rFonts w:hint="eastAsia"/>
        </w:rPr>
        <w:t>的条款相冲突，不得设置甲方对次承租人的义务条款。</w:t>
      </w:r>
    </w:p>
    <w:p>
      <w:pPr>
        <w:pStyle w:val="12"/>
        <w:spacing w:line="360" w:lineRule="auto"/>
        <w:ind w:left="-140" w:firstLineChars="0"/>
      </w:pPr>
      <w:r>
        <w:rPr>
          <w:rFonts w:hint="eastAsia"/>
        </w:rPr>
        <w:t>乙方与次承租人签订转租合同之日起5个工作日内，须将转租合同原件一份报甲方备案。</w:t>
      </w:r>
    </w:p>
    <w:p>
      <w:pPr>
        <w:pStyle w:val="10"/>
        <w:spacing w:line="360" w:lineRule="auto"/>
      </w:pPr>
      <w:bookmarkStart w:id="45" w:name="_Toc7851"/>
      <w:bookmarkStart w:id="46" w:name="_Toc75036174"/>
      <w:bookmarkStart w:id="47" w:name="_Toc367425607"/>
      <w:r>
        <w:rPr>
          <w:rFonts w:hint="eastAsia"/>
        </w:rPr>
        <w:t>续租及租赁场地的交还</w:t>
      </w:r>
      <w:bookmarkEnd w:id="45"/>
      <w:bookmarkEnd w:id="46"/>
      <w:bookmarkEnd w:id="47"/>
    </w:p>
    <w:p>
      <w:pPr>
        <w:pStyle w:val="12"/>
        <w:spacing w:line="360" w:lineRule="auto"/>
        <w:ind w:left="-140" w:firstLineChars="0"/>
      </w:pPr>
      <w:r>
        <w:rPr>
          <w:rFonts w:hint="eastAsia"/>
        </w:rPr>
        <w:t>租赁期满，甲方有权收回租赁场地。在乙方于租赁期限内遵守本</w:t>
      </w:r>
      <w:r>
        <w:rPr>
          <w:rFonts w:hint="eastAsia"/>
          <w:lang w:eastAsia="zh-CN"/>
        </w:rPr>
        <w:t>合同</w:t>
      </w:r>
      <w:r>
        <w:rPr>
          <w:rFonts w:hint="eastAsia"/>
        </w:rPr>
        <w:t>相关约定的前提下，如乙方拟续租的，应在租赁期限届满前三个月，向甲方提出书面续租申请(同等条件下甲方应优先租给乙方)，并在租赁期限届满前十日按甲方新的租赁政策签署新的租赁</w:t>
      </w:r>
      <w:r>
        <w:rPr>
          <w:rFonts w:hint="eastAsia"/>
          <w:lang w:eastAsia="zh-CN"/>
        </w:rPr>
        <w:t>合同</w:t>
      </w:r>
      <w:r>
        <w:rPr>
          <w:rFonts w:hint="eastAsia"/>
        </w:rPr>
        <w:t>或续租</w:t>
      </w:r>
      <w:r>
        <w:rPr>
          <w:rFonts w:hint="eastAsia"/>
          <w:lang w:eastAsia="zh-CN"/>
        </w:rPr>
        <w:t>合同</w:t>
      </w:r>
      <w:r>
        <w:rPr>
          <w:rFonts w:hint="eastAsia"/>
        </w:rPr>
        <w:t>。如乙方未能在上述期限内提出续租申请，本</w:t>
      </w:r>
      <w:r>
        <w:rPr>
          <w:rFonts w:hint="eastAsia"/>
          <w:lang w:eastAsia="zh-CN"/>
        </w:rPr>
        <w:t>合同</w:t>
      </w:r>
      <w:r>
        <w:rPr>
          <w:rFonts w:hint="eastAsia"/>
        </w:rPr>
        <w:t>将于租赁期限届满时终止。并且自本</w:t>
      </w:r>
      <w:r>
        <w:rPr>
          <w:rFonts w:hint="eastAsia"/>
          <w:lang w:eastAsia="zh-CN"/>
        </w:rPr>
        <w:t>合同</w:t>
      </w:r>
      <w:r>
        <w:rPr>
          <w:rFonts w:hint="eastAsia"/>
        </w:rPr>
        <w:t>租赁期届满时，甲方有权将租赁场地出租给任何第三方。</w:t>
      </w:r>
    </w:p>
    <w:p>
      <w:pPr>
        <w:pStyle w:val="12"/>
        <w:spacing w:line="360" w:lineRule="auto"/>
        <w:ind w:left="-140" w:firstLineChars="0"/>
      </w:pPr>
      <w:r>
        <w:rPr>
          <w:rFonts w:hint="eastAsia"/>
        </w:rPr>
        <w:t>承租人应当于租赁期限届满或本</w:t>
      </w:r>
      <w:r>
        <w:rPr>
          <w:rFonts w:hint="eastAsia"/>
          <w:lang w:eastAsia="zh-CN"/>
        </w:rPr>
        <w:t>合同</w:t>
      </w:r>
      <w:r>
        <w:rPr>
          <w:rFonts w:hint="eastAsia"/>
        </w:rPr>
        <w:t>终止（包括但不限于协商终止、到期终止或提前终止）</w:t>
      </w:r>
      <w:r>
        <w:t>5</w:t>
      </w:r>
      <w:r>
        <w:rPr>
          <w:rFonts w:hint="eastAsia"/>
        </w:rPr>
        <w:t>日内，自行承担费用将租赁场地内所有物品搬离租赁场地，并将租赁场地恢复至交付前标准状态（双方另有约定的除外）后交还甲方。甲方移交乙方使用的家具、电器，如有损坏，乙方负责修复后交还甲方，维修费用由乙方承担。</w:t>
      </w:r>
    </w:p>
    <w:p>
      <w:pPr>
        <w:pStyle w:val="12"/>
        <w:spacing w:line="360" w:lineRule="auto"/>
        <w:ind w:left="-140" w:firstLineChars="0"/>
      </w:pPr>
      <w:r>
        <w:rPr>
          <w:rFonts w:hint="eastAsia"/>
        </w:rPr>
        <w:t>乙方申请提前退租的，已缴纳的租金、履约保证金等相关费用可不予退还。</w:t>
      </w:r>
    </w:p>
    <w:p>
      <w:pPr>
        <w:pStyle w:val="10"/>
        <w:tabs>
          <w:tab w:val="left" w:pos="450"/>
        </w:tabs>
        <w:spacing w:line="360" w:lineRule="auto"/>
      </w:pPr>
      <w:bookmarkStart w:id="48" w:name="_Toc19510"/>
      <w:bookmarkStart w:id="49" w:name="_Toc1306691724"/>
      <w:bookmarkStart w:id="50" w:name="_Toc75036175"/>
      <w:r>
        <w:rPr>
          <w:rFonts w:hint="eastAsia"/>
          <w:lang w:val="en-US" w:eastAsia="zh-CN"/>
        </w:rPr>
        <w:t>退出机制</w:t>
      </w:r>
      <w:bookmarkEnd w:id="48"/>
    </w:p>
    <w:p>
      <w:pPr>
        <w:pStyle w:val="10"/>
        <w:numPr>
          <w:ilvl w:val="-1"/>
          <w:numId w:val="0"/>
        </w:numPr>
        <w:ind w:left="0" w:leftChars="0" w:firstLine="560" w:firstLineChars="200"/>
        <w:rPr>
          <w:rFonts w:hint="eastAsia"/>
          <w:b w:val="0"/>
          <w:bCs w:val="0"/>
          <w:lang w:val="en-US" w:eastAsia="zh-CN"/>
        </w:rPr>
      </w:pPr>
      <w:bookmarkStart w:id="51" w:name="_Toc16876"/>
      <w:bookmarkStart w:id="52" w:name="_Toc6525"/>
      <w:r>
        <w:rPr>
          <w:rFonts w:hint="eastAsia"/>
          <w:b w:val="0"/>
          <w:bCs w:val="0"/>
          <w:lang w:val="en-US" w:eastAsia="zh-CN"/>
        </w:rPr>
        <w:t>出现下列情况之一，甲方有权发函收回租赁场地，乙方应在收到函件后</w:t>
      </w:r>
      <w:r>
        <w:rPr>
          <w:rFonts w:hint="eastAsia"/>
          <w:b w:val="0"/>
          <w:bCs w:val="0"/>
          <w:u w:val="single"/>
          <w:lang w:val="en-US" w:eastAsia="zh-CN"/>
        </w:rPr>
        <w:t xml:space="preserve">    </w:t>
      </w:r>
      <w:r>
        <w:rPr>
          <w:rFonts w:hint="eastAsia"/>
          <w:b w:val="0"/>
          <w:bCs w:val="0"/>
          <w:lang w:val="en-US" w:eastAsia="zh-CN"/>
        </w:rPr>
        <w:t>日内腾退场地并交还给甲方。乙方逾期不腾退房屋的，则按照当期租金标准的</w:t>
      </w:r>
      <w:r>
        <w:rPr>
          <w:rFonts w:hint="eastAsia"/>
          <w:b w:val="0"/>
          <w:bCs w:val="0"/>
          <w:u w:val="single"/>
          <w:lang w:val="en-US" w:eastAsia="zh-CN"/>
        </w:rPr>
        <w:t xml:space="preserve">  </w:t>
      </w:r>
      <w:r>
        <w:rPr>
          <w:rFonts w:hint="eastAsia"/>
          <w:b w:val="0"/>
          <w:bCs w:val="0"/>
          <w:lang w:val="en-US" w:eastAsia="zh-CN"/>
        </w:rPr>
        <w:t>倍缴纳场地占用费，甲方还有权采取停水、停电、停止乙方对共用设施设备的使用、对场地进行清场等方式收回场地，乙方缴纳的履约保证金不予退还。乙方不及时搬离场地物品的，视为乙方放弃物品所有权，甲方有权做无主物自行处理或请求第三方进行处理，由此产生的费用及损失由乙方自行承担，乙方对此不持异议且无权追究甲方任何经济或法律责任。</w:t>
      </w:r>
      <w:bookmarkEnd w:id="51"/>
    </w:p>
    <w:bookmarkEnd w:id="52"/>
    <w:p>
      <w:pPr>
        <w:pStyle w:val="12"/>
        <w:ind w:left="57" w:firstLine="510"/>
        <w:rPr>
          <w:rFonts w:hint="eastAsia"/>
          <w:lang w:val="en-US" w:eastAsia="zh-CN"/>
        </w:rPr>
      </w:pPr>
      <w:r>
        <w:rPr>
          <w:rFonts w:hint="eastAsia"/>
          <w:lang w:val="en-US" w:eastAsia="zh-CN"/>
        </w:rPr>
        <w:t>乙方不履行第2.2条约定、不配合临时搬迁场地超过</w:t>
      </w:r>
      <w:r>
        <w:rPr>
          <w:rFonts w:hint="eastAsia"/>
          <w:u w:val="single"/>
          <w:lang w:val="en-US" w:eastAsia="zh-CN"/>
        </w:rPr>
        <w:t xml:space="preserve">  1 </w:t>
      </w:r>
      <w:r>
        <w:rPr>
          <w:rFonts w:hint="eastAsia"/>
          <w:lang w:val="en-US" w:eastAsia="zh-CN"/>
        </w:rPr>
        <w:t>次的。</w:t>
      </w:r>
    </w:p>
    <w:p>
      <w:pPr>
        <w:pStyle w:val="12"/>
        <w:ind w:left="57" w:firstLine="510"/>
        <w:rPr>
          <w:rFonts w:hint="eastAsia"/>
          <w:lang w:val="en-US" w:eastAsia="zh-CN"/>
        </w:rPr>
      </w:pPr>
      <w:r>
        <w:rPr>
          <w:rFonts w:hint="eastAsia"/>
          <w:lang w:val="en-US" w:eastAsia="zh-CN"/>
        </w:rPr>
        <w:t>因乙方原因导致乙方员工或客户等第三方人员在租赁场地闹事对甲方产生不良影响的。</w:t>
      </w:r>
    </w:p>
    <w:p>
      <w:pPr>
        <w:pStyle w:val="12"/>
        <w:ind w:left="57" w:firstLine="510"/>
        <w:rPr>
          <w:rFonts w:hint="eastAsia"/>
          <w:lang w:val="en-US" w:eastAsia="zh-CN"/>
        </w:rPr>
      </w:pPr>
      <w:r>
        <w:rPr>
          <w:rFonts w:hint="eastAsia"/>
          <w:lang w:val="en-US" w:eastAsia="zh-CN"/>
        </w:rPr>
        <w:t>乙方履行合同过程中</w:t>
      </w:r>
      <w:r>
        <w:rPr>
          <w:rFonts w:hint="default" w:eastAsia="宋体"/>
          <w:lang w:val="en-US" w:eastAsia="zh-CN"/>
        </w:rPr>
        <w:t>提供虚假证明材料</w:t>
      </w:r>
      <w:r>
        <w:rPr>
          <w:rFonts w:hint="eastAsia"/>
          <w:lang w:val="en-US" w:eastAsia="zh-CN"/>
        </w:rPr>
        <w:t>或以</w:t>
      </w:r>
      <w:r>
        <w:rPr>
          <w:rFonts w:hint="default" w:eastAsia="宋体"/>
          <w:lang w:val="en-US" w:eastAsia="zh-CN"/>
        </w:rPr>
        <w:t>欺骗</w:t>
      </w:r>
      <w:r>
        <w:rPr>
          <w:rFonts w:hint="eastAsia"/>
          <w:lang w:val="en-US" w:eastAsia="zh-CN"/>
        </w:rPr>
        <w:t>等</w:t>
      </w:r>
      <w:r>
        <w:rPr>
          <w:rFonts w:hint="default" w:eastAsia="宋体"/>
          <w:lang w:val="en-US" w:eastAsia="zh-CN"/>
        </w:rPr>
        <w:t>方式取得</w:t>
      </w:r>
      <w:r>
        <w:rPr>
          <w:rFonts w:hint="eastAsia"/>
          <w:lang w:val="en-US" w:eastAsia="zh-CN"/>
        </w:rPr>
        <w:t>租赁场地</w:t>
      </w:r>
      <w:r>
        <w:rPr>
          <w:rFonts w:hint="default" w:eastAsia="宋体"/>
          <w:lang w:val="en-US" w:eastAsia="zh-CN"/>
        </w:rPr>
        <w:t>的</w:t>
      </w:r>
      <w:r>
        <w:rPr>
          <w:rFonts w:hint="eastAsia"/>
          <w:lang w:val="en-US" w:eastAsia="zh-CN"/>
        </w:rPr>
        <w:t>。</w:t>
      </w:r>
    </w:p>
    <w:p>
      <w:pPr>
        <w:pStyle w:val="12"/>
        <w:numPr>
          <w:ilvl w:val="1"/>
          <w:numId w:val="0"/>
        </w:numPr>
        <w:ind w:firstLine="560" w:firstLineChars="200"/>
        <w:rPr>
          <w:rFonts w:hint="eastAsia"/>
          <w:lang w:val="en-US" w:eastAsia="zh-CN"/>
        </w:rPr>
      </w:pPr>
      <w:r>
        <w:rPr>
          <w:rFonts w:hint="eastAsia"/>
          <w:lang w:val="en-US" w:eastAsia="zh-CN"/>
        </w:rPr>
        <w:t>14.4甲方发现乙方被人民法院列为失信被执行人或乙方涉诉导致人民法院可能查封涉案场地进行财产保全的。</w:t>
      </w:r>
    </w:p>
    <w:p>
      <w:pPr>
        <w:pStyle w:val="12"/>
        <w:numPr>
          <w:ilvl w:val="1"/>
          <w:numId w:val="0"/>
        </w:numPr>
        <w:ind w:firstLine="560" w:firstLineChars="200"/>
      </w:pPr>
      <w:r>
        <w:rPr>
          <w:rFonts w:hint="eastAsia"/>
          <w:lang w:val="en-US" w:eastAsia="zh-CN"/>
        </w:rPr>
        <w:t>14.5乙方在</w:t>
      </w:r>
      <w:r>
        <w:rPr>
          <w:rFonts w:hint="eastAsia"/>
          <w:u w:val="single"/>
          <w:lang w:val="en-US" w:eastAsia="zh-CN"/>
        </w:rPr>
        <w:t xml:space="preserve">   </w:t>
      </w:r>
      <w:r>
        <w:rPr>
          <w:rFonts w:hint="eastAsia"/>
          <w:lang w:val="en-US" w:eastAsia="zh-CN"/>
        </w:rPr>
        <w:t>年</w:t>
      </w:r>
      <w:r>
        <w:rPr>
          <w:rFonts w:hint="eastAsia"/>
          <w:u w:val="single"/>
          <w:lang w:val="en-US" w:eastAsia="zh-CN"/>
        </w:rPr>
        <w:t xml:space="preserve">  </w:t>
      </w:r>
      <w:r>
        <w:rPr>
          <w:rFonts w:hint="eastAsia"/>
          <w:lang w:val="en-US" w:eastAsia="zh-CN"/>
        </w:rPr>
        <w:t>月</w:t>
      </w:r>
      <w:r>
        <w:rPr>
          <w:rFonts w:hint="eastAsia"/>
          <w:u w:val="single"/>
          <w:lang w:val="en-US" w:eastAsia="zh-CN"/>
        </w:rPr>
        <w:t xml:space="preserve">   </w:t>
      </w:r>
      <w:r>
        <w:rPr>
          <w:rFonts w:hint="eastAsia"/>
          <w:lang w:val="en-US" w:eastAsia="zh-CN"/>
        </w:rPr>
        <w:t>日内仍未完成装修、未能正常开展营业活动的，或在租赁期限届满后</w:t>
      </w:r>
      <w:r>
        <w:rPr>
          <w:rFonts w:hint="eastAsia"/>
          <w:u w:val="single"/>
          <w:lang w:val="en-US" w:eastAsia="zh-CN"/>
        </w:rPr>
        <w:t xml:space="preserve"> 15 </w:t>
      </w:r>
      <w:r>
        <w:rPr>
          <w:rFonts w:hint="eastAsia"/>
          <w:lang w:val="en-US" w:eastAsia="zh-CN"/>
        </w:rPr>
        <w:t>日内不完成场地恢复及交回甲方的。</w:t>
      </w:r>
    </w:p>
    <w:p>
      <w:pPr>
        <w:pStyle w:val="10"/>
        <w:spacing w:line="360" w:lineRule="auto"/>
      </w:pPr>
      <w:bookmarkStart w:id="53" w:name="_Toc15134"/>
      <w:r>
        <w:rPr>
          <w:rFonts w:hint="eastAsia"/>
        </w:rPr>
        <w:t>违约责任</w:t>
      </w:r>
      <w:bookmarkEnd w:id="49"/>
      <w:bookmarkEnd w:id="50"/>
      <w:bookmarkEnd w:id="53"/>
    </w:p>
    <w:p>
      <w:pPr>
        <w:pStyle w:val="12"/>
        <w:spacing w:line="360" w:lineRule="auto"/>
        <w:ind w:left="-140" w:firstLineChars="0"/>
      </w:pPr>
      <w:r>
        <w:rPr>
          <w:rFonts w:hint="eastAsia"/>
        </w:rPr>
        <w:t>乙方未按时足额缴纳租金或其他费用的，除应及时如数补交外，</w:t>
      </w:r>
      <w:r>
        <w:rPr>
          <w:rFonts w:hint="eastAsia" w:ascii="宋体" w:hAnsi="宋体"/>
        </w:rPr>
        <w:t>还需按所欠费用数额的日万分之五计付</w:t>
      </w:r>
      <w:r>
        <w:rPr>
          <w:rFonts w:hint="eastAsia" w:ascii="宋体" w:hAnsi="宋体"/>
          <w:lang w:val="en-US" w:eastAsia="zh-CN"/>
        </w:rPr>
        <w:t>惩罚性</w:t>
      </w:r>
      <w:r>
        <w:rPr>
          <w:rFonts w:hint="eastAsia" w:ascii="宋体" w:hAnsi="宋体"/>
        </w:rPr>
        <w:t>违约金给甲方，截至乙方付清之日止。若乙方逾期超过</w:t>
      </w:r>
      <w:r>
        <w:rPr>
          <w:rFonts w:hint="eastAsia" w:ascii="宋体" w:hAnsi="宋体"/>
          <w:lang w:val="en-US" w:eastAsia="zh-CN"/>
        </w:rPr>
        <w:t>3</w:t>
      </w:r>
      <w:r>
        <w:rPr>
          <w:rFonts w:ascii="宋体" w:hAnsi="宋体"/>
        </w:rPr>
        <w:t>0</w:t>
      </w:r>
      <w:r>
        <w:rPr>
          <w:rFonts w:hint="eastAsia" w:ascii="宋体" w:hAnsi="宋体"/>
        </w:rPr>
        <w:t>天仍不支付的，甲方有权单方解除本合同，并要求乙方按照本条款约定承担相应的逾期支付</w:t>
      </w:r>
      <w:r>
        <w:rPr>
          <w:rFonts w:hint="eastAsia" w:ascii="宋体" w:hAnsi="宋体"/>
          <w:lang w:val="en-US" w:eastAsia="zh-CN"/>
        </w:rPr>
        <w:t>惩罚性</w:t>
      </w:r>
      <w:r>
        <w:rPr>
          <w:rFonts w:hint="eastAsia" w:ascii="宋体" w:hAnsi="宋体"/>
        </w:rPr>
        <w:t>违约金。</w:t>
      </w:r>
    </w:p>
    <w:p>
      <w:pPr>
        <w:pStyle w:val="12"/>
        <w:spacing w:line="360" w:lineRule="auto"/>
        <w:ind w:left="-140" w:firstLineChars="0"/>
      </w:pPr>
      <w:r>
        <w:rPr>
          <w:rFonts w:hint="eastAsia"/>
        </w:rPr>
        <w:t>除</w:t>
      </w:r>
      <w:r>
        <w:rPr>
          <w:rFonts w:hint="eastAsia"/>
          <w:lang w:val="en-US" w:eastAsia="zh-CN"/>
        </w:rPr>
        <w:t>合同第15.1条</w:t>
      </w:r>
      <w:r>
        <w:rPr>
          <w:rFonts w:hint="eastAsia"/>
        </w:rPr>
        <w:t>所约定的情形外，因一方的违约行为致使本</w:t>
      </w:r>
      <w:r>
        <w:rPr>
          <w:rFonts w:hint="eastAsia"/>
          <w:lang w:eastAsia="zh-CN"/>
        </w:rPr>
        <w:t>合同</w:t>
      </w:r>
      <w:r>
        <w:rPr>
          <w:rFonts w:hint="eastAsia"/>
        </w:rPr>
        <w:t>被解除的，违约方应向守约方支付</w:t>
      </w:r>
      <w:r>
        <w:rPr>
          <w:u w:val="single"/>
        </w:rPr>
        <w:t>1</w:t>
      </w:r>
      <w:r>
        <w:rPr>
          <w:rFonts w:hint="eastAsia"/>
        </w:rPr>
        <w:t>个月的租金作为违约金。</w:t>
      </w:r>
    </w:p>
    <w:p>
      <w:pPr>
        <w:pStyle w:val="12"/>
        <w:spacing w:line="360" w:lineRule="auto"/>
        <w:ind w:left="-140" w:firstLineChars="0"/>
      </w:pPr>
      <w:r>
        <w:rPr>
          <w:rFonts w:hint="eastAsia"/>
        </w:rPr>
        <w:t>如因一方违约行为导致守约方需向人民法院提起诉讼，由违约方承担仲裁费、诉讼费、保全费、保全保单费、律师费、差旅费等合理费用。</w:t>
      </w:r>
    </w:p>
    <w:p>
      <w:pPr>
        <w:pStyle w:val="10"/>
        <w:spacing w:line="360" w:lineRule="auto"/>
      </w:pPr>
      <w:bookmarkStart w:id="54" w:name="_Toc22605"/>
      <w:bookmarkStart w:id="55" w:name="_Toc75036176"/>
      <w:bookmarkStart w:id="56" w:name="_Toc1400031046"/>
      <w:r>
        <w:rPr>
          <w:rFonts w:hint="eastAsia"/>
        </w:rPr>
        <w:t>不可抗力</w:t>
      </w:r>
      <w:bookmarkEnd w:id="54"/>
      <w:bookmarkEnd w:id="55"/>
      <w:bookmarkEnd w:id="56"/>
    </w:p>
    <w:p>
      <w:pPr>
        <w:pStyle w:val="12"/>
        <w:spacing w:line="360" w:lineRule="auto"/>
        <w:ind w:left="-140" w:firstLineChars="0"/>
      </w:pPr>
      <w:r>
        <w:rPr>
          <w:rFonts w:hint="eastAsia"/>
        </w:rPr>
        <w:t>不可抗力是指不能预见、不能避免并不能克服的客观情况，包括但不限于自然灾害、战争、社会动乱、政府行为等，遭受不可抗力的一方应及时通知另一方，甲、乙双方应及时采取措施避免损失扩大。</w:t>
      </w:r>
    </w:p>
    <w:p>
      <w:pPr>
        <w:pStyle w:val="12"/>
        <w:spacing w:line="360" w:lineRule="auto"/>
        <w:ind w:left="-140" w:firstLineChars="0"/>
      </w:pPr>
      <w:r>
        <w:rPr>
          <w:rFonts w:hint="eastAsia"/>
        </w:rPr>
        <w:t>因不可抗力导致租赁场地被损坏或部分损坏但仍能或经修复后仍能继续使用的，双方同意根据租赁场地受损坏的程度减免损坏期间的租金，直至租赁场地修复至可正常使用为止。上述情况不引起本</w:t>
      </w:r>
      <w:r>
        <w:rPr>
          <w:rFonts w:hint="eastAsia"/>
          <w:lang w:eastAsia="zh-CN"/>
        </w:rPr>
        <w:t>合同</w:t>
      </w:r>
      <w:r>
        <w:rPr>
          <w:rFonts w:hint="eastAsia"/>
        </w:rPr>
        <w:t>租赁期的变化</w:t>
      </w:r>
      <w:r>
        <w:rPr>
          <w:rFonts w:hint="eastAsia"/>
          <w:lang w:eastAsia="zh-CN"/>
        </w:rPr>
        <w:t>（</w:t>
      </w:r>
      <w:r>
        <w:rPr>
          <w:rFonts w:hint="eastAsia"/>
          <w:lang w:val="en-US" w:eastAsia="zh-CN"/>
        </w:rPr>
        <w:t>双方协商一致的除外</w:t>
      </w:r>
      <w:r>
        <w:rPr>
          <w:rFonts w:hint="eastAsia"/>
          <w:lang w:eastAsia="zh-CN"/>
        </w:rPr>
        <w:t>）</w:t>
      </w:r>
      <w:r>
        <w:rPr>
          <w:rFonts w:hint="eastAsia"/>
        </w:rPr>
        <w:t>。</w:t>
      </w:r>
    </w:p>
    <w:p>
      <w:pPr>
        <w:pStyle w:val="12"/>
        <w:spacing w:line="360" w:lineRule="auto"/>
        <w:ind w:left="-140" w:firstLineChars="0"/>
      </w:pPr>
      <w:r>
        <w:rPr>
          <w:rFonts w:hint="eastAsia"/>
        </w:rPr>
        <w:t>因不可抗力导致租赁场地被损毁致使租赁场地不能再行使用的，本</w:t>
      </w:r>
      <w:r>
        <w:rPr>
          <w:rFonts w:hint="eastAsia"/>
          <w:lang w:eastAsia="zh-CN"/>
        </w:rPr>
        <w:t>合同</w:t>
      </w:r>
      <w:r>
        <w:rPr>
          <w:rFonts w:hint="eastAsia"/>
        </w:rPr>
        <w:t>自动终止，乙方付清租金及其他费用，任何一方均无须因此向对方承担任何违约责任。</w:t>
      </w:r>
    </w:p>
    <w:p>
      <w:pPr>
        <w:pStyle w:val="12"/>
        <w:spacing w:line="360" w:lineRule="auto"/>
        <w:ind w:left="-140" w:firstLineChars="0"/>
      </w:pPr>
      <w:r>
        <w:rPr>
          <w:rFonts w:hint="eastAsia"/>
        </w:rPr>
        <w:t>因不可抗力导致水、电、空调及相关服务不能正常供应或其他公共设备设施不能正常运行的，甲方应及时维修使其恢复正常运行，但无须因此向乙方承担任何赔偿和违约责任。</w:t>
      </w:r>
    </w:p>
    <w:p>
      <w:pPr>
        <w:pStyle w:val="12"/>
        <w:spacing w:line="360" w:lineRule="auto"/>
        <w:ind w:left="-140" w:firstLineChars="0"/>
      </w:pPr>
      <w:r>
        <w:rPr>
          <w:rFonts w:hint="eastAsia"/>
        </w:rPr>
        <w:t>因不可抗力原因，甲方对租赁场地升级改造或者政府性行为导致本</w:t>
      </w:r>
      <w:r>
        <w:rPr>
          <w:rFonts w:hint="eastAsia"/>
          <w:lang w:eastAsia="zh-CN"/>
        </w:rPr>
        <w:t>合同</w:t>
      </w:r>
      <w:r>
        <w:rPr>
          <w:rFonts w:hint="eastAsia"/>
        </w:rPr>
        <w:t>不能履行的，双方均可提出变更或终止本</w:t>
      </w:r>
      <w:r>
        <w:rPr>
          <w:rFonts w:hint="eastAsia"/>
          <w:lang w:eastAsia="zh-CN"/>
        </w:rPr>
        <w:t>合同</w:t>
      </w:r>
      <w:r>
        <w:rPr>
          <w:rFonts w:hint="eastAsia"/>
        </w:rPr>
        <w:t>，且互不承担任何赔偿责任。</w:t>
      </w:r>
    </w:p>
    <w:p>
      <w:pPr>
        <w:pStyle w:val="10"/>
        <w:spacing w:line="360" w:lineRule="auto"/>
      </w:pPr>
      <w:bookmarkStart w:id="57" w:name="_Toc75036177"/>
      <w:bookmarkStart w:id="58" w:name="_Toc343469943"/>
      <w:bookmarkStart w:id="59" w:name="_Toc24378"/>
      <w:r>
        <w:rPr>
          <w:rFonts w:hint="eastAsia"/>
        </w:rPr>
        <w:t>送达</w:t>
      </w:r>
      <w:bookmarkEnd w:id="57"/>
      <w:r>
        <w:rPr>
          <w:rFonts w:hint="eastAsia"/>
        </w:rPr>
        <w:t>及争议的解决</w:t>
      </w:r>
      <w:bookmarkEnd w:id="58"/>
      <w:bookmarkEnd w:id="59"/>
    </w:p>
    <w:p>
      <w:pPr>
        <w:pStyle w:val="12"/>
        <w:spacing w:line="360" w:lineRule="auto"/>
        <w:ind w:left="-140" w:firstLineChars="0"/>
      </w:pPr>
      <w:r>
        <w:rPr>
          <w:rFonts w:hint="eastAsia"/>
        </w:rPr>
        <w:t>为提升甲方场地管理服务效率，确保向乙方及时有效的送达物业部各类重要通知、租金场地水电缴费单，便利乙方提交缴费凭证和核对缴费项目，杜绝恶意欠费现象，甲乙双方均指定各自专用电子邮箱对接以上缴费凭证往来工作，以示确认。以电子邮件对接缴费通知方式具备法律效应，对未能履行本</w:t>
      </w:r>
      <w:r>
        <w:rPr>
          <w:rFonts w:hint="eastAsia"/>
          <w:lang w:eastAsia="zh-CN"/>
        </w:rPr>
        <w:t>合同</w:t>
      </w:r>
      <w:r>
        <w:rPr>
          <w:rFonts w:hint="eastAsia"/>
        </w:rPr>
        <w:t>规定义务，不能按时、足额缴纳费用的，甲方将按相关法律规定及双方的约定追究乙方的违约责任并作为停止提供相关物业服务（如免费停车等）及核算违约金之依据。</w:t>
      </w:r>
    </w:p>
    <w:p>
      <w:pPr>
        <w:pStyle w:val="12"/>
        <w:numPr>
          <w:ilvl w:val="255"/>
          <w:numId w:val="0"/>
        </w:numPr>
        <w:spacing w:line="360" w:lineRule="auto"/>
        <w:ind w:firstLine="638" w:firstLineChars="228"/>
      </w:pPr>
      <w:r>
        <w:rPr>
          <w:rFonts w:hint="eastAsia"/>
        </w:rPr>
        <w:t>甲方专用邮箱：</w:t>
      </w:r>
      <w:r>
        <w:rPr>
          <w:rFonts w:ascii="宋体" w:hAnsi="宋体" w:cs="宋体"/>
          <w:sz w:val="32"/>
          <w:szCs w:val="32"/>
        </w:rPr>
        <w:t>nngjhzzx@163.com</w:t>
      </w:r>
    </w:p>
    <w:p>
      <w:pPr>
        <w:pStyle w:val="12"/>
        <w:numPr>
          <w:ilvl w:val="255"/>
          <w:numId w:val="0"/>
        </w:numPr>
        <w:spacing w:line="360" w:lineRule="auto"/>
        <w:ind w:firstLine="638" w:firstLineChars="228"/>
      </w:pPr>
      <w:r>
        <w:rPr>
          <w:rFonts w:hint="eastAsia"/>
        </w:rPr>
        <w:t>乙方</w:t>
      </w:r>
      <w:r>
        <w:rPr>
          <w:rFonts w:hint="eastAsia"/>
          <w:lang w:val="en-US" w:eastAsia="zh-CN"/>
        </w:rPr>
        <w:t>收件</w:t>
      </w:r>
      <w:r>
        <w:rPr>
          <w:rFonts w:hint="eastAsia"/>
        </w:rPr>
        <w:t>专用邮箱</w:t>
      </w:r>
      <w:r>
        <w:rPr>
          <w:rFonts w:hint="eastAsia"/>
          <w:u w:val="single"/>
        </w:rPr>
        <w:t>：                        。</w:t>
      </w:r>
    </w:p>
    <w:p>
      <w:pPr>
        <w:pStyle w:val="12"/>
        <w:spacing w:line="360" w:lineRule="auto"/>
        <w:ind w:left="-140" w:firstLineChars="0"/>
      </w:pPr>
      <w:r>
        <w:rPr>
          <w:rFonts w:hint="eastAsia"/>
        </w:rPr>
        <w:t>甲乙双方履行本</w:t>
      </w:r>
      <w:r>
        <w:rPr>
          <w:rFonts w:hint="eastAsia"/>
          <w:lang w:eastAsia="zh-CN"/>
        </w:rPr>
        <w:t>合同</w:t>
      </w:r>
      <w:r>
        <w:rPr>
          <w:rFonts w:hint="eastAsia"/>
        </w:rPr>
        <w:t>过程中产生的争议，由甲乙双方协商解决，协商不成，可向租赁场地所在地有管辖权的人民法院提起诉讼，与本</w:t>
      </w:r>
      <w:r>
        <w:rPr>
          <w:rFonts w:hint="eastAsia"/>
          <w:lang w:eastAsia="zh-CN"/>
        </w:rPr>
        <w:t>合同</w:t>
      </w:r>
      <w:r>
        <w:rPr>
          <w:rFonts w:hint="eastAsia"/>
        </w:rPr>
        <w:t xml:space="preserve">有关的所有事宜均适用中华人民共和国法律。         </w:t>
      </w:r>
    </w:p>
    <w:p>
      <w:pPr>
        <w:pStyle w:val="10"/>
        <w:spacing w:line="360" w:lineRule="auto"/>
      </w:pPr>
      <w:bookmarkStart w:id="60" w:name="_Toc16624"/>
      <w:bookmarkStart w:id="61" w:name="_Toc75036178"/>
      <w:bookmarkStart w:id="62" w:name="_Toc263288865"/>
      <w:r>
        <w:rPr>
          <w:rFonts w:hint="eastAsia"/>
        </w:rPr>
        <w:t>附则</w:t>
      </w:r>
      <w:bookmarkEnd w:id="60"/>
      <w:bookmarkEnd w:id="61"/>
      <w:bookmarkEnd w:id="62"/>
    </w:p>
    <w:p>
      <w:pPr>
        <w:pStyle w:val="12"/>
        <w:spacing w:line="360" w:lineRule="auto"/>
        <w:ind w:left="-140" w:firstLineChars="0"/>
      </w:pPr>
      <w:r>
        <w:rPr>
          <w:rFonts w:hint="eastAsia"/>
        </w:rPr>
        <w:t>本</w:t>
      </w:r>
      <w:r>
        <w:rPr>
          <w:rFonts w:hint="eastAsia"/>
          <w:lang w:eastAsia="zh-CN"/>
        </w:rPr>
        <w:t>合同</w:t>
      </w:r>
      <w:r>
        <w:rPr>
          <w:rFonts w:hint="eastAsia"/>
        </w:rPr>
        <w:t>一式伍份，甲方持叁份，乙方持贰份，均具同等法律效力。本</w:t>
      </w:r>
      <w:r>
        <w:rPr>
          <w:rFonts w:hint="eastAsia"/>
          <w:lang w:eastAsia="zh-CN"/>
        </w:rPr>
        <w:t>合同</w:t>
      </w:r>
      <w:r>
        <w:rPr>
          <w:rFonts w:hint="eastAsia"/>
        </w:rPr>
        <w:t>未尽事宜，双方经协商可签订补充</w:t>
      </w:r>
      <w:r>
        <w:rPr>
          <w:rFonts w:hint="eastAsia"/>
          <w:lang w:eastAsia="zh-CN"/>
        </w:rPr>
        <w:t>合同</w:t>
      </w:r>
      <w:r>
        <w:rPr>
          <w:rFonts w:hint="eastAsia"/>
        </w:rPr>
        <w:t>，补充</w:t>
      </w:r>
      <w:r>
        <w:rPr>
          <w:rFonts w:hint="eastAsia"/>
          <w:lang w:eastAsia="zh-CN"/>
        </w:rPr>
        <w:t>合同</w:t>
      </w:r>
      <w:r>
        <w:rPr>
          <w:rFonts w:hint="eastAsia"/>
        </w:rPr>
        <w:t>作为本</w:t>
      </w:r>
      <w:r>
        <w:rPr>
          <w:rFonts w:hint="eastAsia"/>
          <w:lang w:eastAsia="zh-CN"/>
        </w:rPr>
        <w:t>合同</w:t>
      </w:r>
      <w:r>
        <w:rPr>
          <w:rFonts w:hint="eastAsia"/>
        </w:rPr>
        <w:t>的补充，与本</w:t>
      </w:r>
      <w:r>
        <w:rPr>
          <w:rFonts w:hint="eastAsia"/>
          <w:lang w:eastAsia="zh-CN"/>
        </w:rPr>
        <w:t>合同</w:t>
      </w:r>
      <w:r>
        <w:rPr>
          <w:rFonts w:hint="eastAsia"/>
        </w:rPr>
        <w:t>具同等法律效力。</w:t>
      </w:r>
    </w:p>
    <w:p>
      <w:pPr>
        <w:pStyle w:val="12"/>
        <w:spacing w:line="360" w:lineRule="auto"/>
        <w:ind w:left="-140" w:firstLineChars="0"/>
      </w:pPr>
      <w:r>
        <w:rPr>
          <w:rFonts w:hint="eastAsia"/>
        </w:rPr>
        <w:t>本</w:t>
      </w:r>
      <w:r>
        <w:rPr>
          <w:rFonts w:hint="eastAsia"/>
          <w:lang w:eastAsia="zh-CN"/>
        </w:rPr>
        <w:t>合同</w:t>
      </w:r>
      <w:r>
        <w:rPr>
          <w:rFonts w:hint="eastAsia"/>
        </w:rPr>
        <w:t>经双方法定代表人或授权代表签字并加盖公章后生效。</w:t>
      </w:r>
    </w:p>
    <w:p>
      <w:pPr>
        <w:pStyle w:val="12"/>
        <w:spacing w:line="360" w:lineRule="auto"/>
        <w:ind w:left="-140" w:firstLineChars="0"/>
      </w:pPr>
      <w:r>
        <w:rPr>
          <w:rFonts w:hint="eastAsia"/>
        </w:rPr>
        <w:t>本</w:t>
      </w:r>
      <w:r>
        <w:rPr>
          <w:rFonts w:hint="eastAsia"/>
          <w:lang w:eastAsia="zh-CN"/>
        </w:rPr>
        <w:t>合同</w:t>
      </w:r>
      <w:r>
        <w:rPr>
          <w:rFonts w:hint="eastAsia"/>
        </w:rPr>
        <w:t>包含以下附件：</w:t>
      </w:r>
    </w:p>
    <w:p>
      <w:pPr>
        <w:pStyle w:val="6"/>
        <w:spacing w:line="360" w:lineRule="auto"/>
        <w:ind w:firstLine="560"/>
      </w:pPr>
      <w:bookmarkStart w:id="63" w:name="_Toc610423885_WPSOffice_Level1"/>
      <w:r>
        <w:rPr>
          <w:rFonts w:hint="eastAsia"/>
        </w:rPr>
        <w:t>附件一：租赁场地平面图</w:t>
      </w:r>
      <w:bookmarkEnd w:id="63"/>
    </w:p>
    <w:p/>
    <w:p>
      <w:pPr>
        <w:rPr>
          <w:sz w:val="28"/>
          <w:szCs w:val="28"/>
        </w:rPr>
      </w:pPr>
      <w:r>
        <w:rPr>
          <w:rFonts w:hint="eastAsia"/>
          <w:sz w:val="28"/>
          <w:szCs w:val="28"/>
        </w:rPr>
        <w:t>（以下无正文）</w:t>
      </w:r>
    </w:p>
    <w:p>
      <w:pPr>
        <w:rPr>
          <w:sz w:val="28"/>
          <w:szCs w:val="28"/>
        </w:rPr>
      </w:pPr>
    </w:p>
    <w:p>
      <w:pPr>
        <w:rPr>
          <w:sz w:val="28"/>
          <w:szCs w:val="28"/>
        </w:rPr>
      </w:pPr>
    </w:p>
    <w:p>
      <w:pPr>
        <w:rPr>
          <w:sz w:val="28"/>
          <w:szCs w:val="28"/>
        </w:rPr>
      </w:pPr>
    </w:p>
    <w:p>
      <w:pPr>
        <w:rPr>
          <w:rFonts w:hint="eastAsia"/>
          <w:sz w:val="28"/>
          <w:szCs w:val="28"/>
        </w:rPr>
      </w:pPr>
    </w:p>
    <w:p>
      <w:pPr>
        <w:rPr>
          <w:sz w:val="28"/>
          <w:szCs w:val="28"/>
        </w:rPr>
      </w:pPr>
      <w:r>
        <w:rPr>
          <w:rFonts w:hint="eastAsia"/>
          <w:sz w:val="28"/>
          <w:szCs w:val="28"/>
        </w:rPr>
        <w:t>（本页为合同签署页，无正文）</w:t>
      </w:r>
    </w:p>
    <w:tbl>
      <w:tblPr>
        <w:tblStyle w:val="16"/>
        <w:tblW w:w="8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2"/>
        <w:gridCol w:w="4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42" w:type="dxa"/>
            <w:tcBorders>
              <w:tl2br w:val="nil"/>
              <w:tr2bl w:val="nil"/>
            </w:tcBorders>
          </w:tcPr>
          <w:p>
            <w:pPr>
              <w:spacing w:line="360" w:lineRule="auto"/>
              <w:rPr>
                <w:rFonts w:ascii="宋体" w:hAnsi="宋体" w:cs="黑体"/>
                <w:b/>
                <w:bCs/>
                <w:sz w:val="28"/>
                <w:szCs w:val="28"/>
              </w:rPr>
            </w:pPr>
            <w:r>
              <w:rPr>
                <w:rFonts w:hint="eastAsia" w:ascii="宋体" w:hAnsi="宋体" w:cs="黑体"/>
                <w:b/>
                <w:bCs/>
                <w:sz w:val="28"/>
                <w:szCs w:val="28"/>
              </w:rPr>
              <w:t>甲方（公章）：</w:t>
            </w:r>
          </w:p>
          <w:p>
            <w:pPr>
              <w:spacing w:line="360" w:lineRule="auto"/>
              <w:rPr>
                <w:rFonts w:ascii="宋体" w:hAnsi="宋体" w:cs="黑体"/>
                <w:b/>
                <w:bCs/>
                <w:sz w:val="28"/>
                <w:szCs w:val="28"/>
              </w:rPr>
            </w:pPr>
            <w:r>
              <w:rPr>
                <w:rFonts w:hint="eastAsia" w:ascii="宋体" w:hAnsi="宋体" w:cs="黑体"/>
                <w:b/>
                <w:bCs/>
                <w:sz w:val="28"/>
                <w:szCs w:val="28"/>
              </w:rPr>
              <w:t>南宁国际会展中心有限公司</w:t>
            </w:r>
          </w:p>
          <w:p>
            <w:pPr>
              <w:spacing w:line="360" w:lineRule="auto"/>
              <w:rPr>
                <w:rFonts w:hint="eastAsia" w:ascii="宋体" w:hAnsi="宋体" w:cs="黑体"/>
                <w:b/>
                <w:bCs/>
                <w:sz w:val="28"/>
                <w:szCs w:val="28"/>
              </w:rPr>
            </w:pPr>
          </w:p>
          <w:p>
            <w:pPr>
              <w:spacing w:line="360" w:lineRule="auto"/>
              <w:rPr>
                <w:rFonts w:ascii="宋体" w:hAnsi="宋体" w:cs="黑体"/>
                <w:b/>
                <w:bCs/>
                <w:sz w:val="28"/>
                <w:szCs w:val="28"/>
              </w:rPr>
            </w:pPr>
            <w:r>
              <w:rPr>
                <w:rFonts w:hint="eastAsia" w:ascii="宋体" w:hAnsi="宋体" w:cs="黑体"/>
                <w:b/>
                <w:bCs/>
                <w:sz w:val="28"/>
                <w:szCs w:val="28"/>
              </w:rPr>
              <w:t>甲方法定代表人或授权代表</w:t>
            </w:r>
          </w:p>
          <w:p>
            <w:pPr>
              <w:spacing w:line="360" w:lineRule="auto"/>
              <w:rPr>
                <w:rFonts w:ascii="宋体" w:hAnsi="宋体" w:cs="黑体"/>
                <w:b/>
                <w:bCs/>
                <w:sz w:val="28"/>
                <w:szCs w:val="28"/>
              </w:rPr>
            </w:pPr>
            <w:r>
              <w:rPr>
                <w:rFonts w:hint="eastAsia" w:ascii="宋体" w:hAnsi="宋体" w:cs="黑体"/>
                <w:b/>
                <w:bCs/>
                <w:sz w:val="28"/>
                <w:szCs w:val="28"/>
              </w:rPr>
              <w:t>（签章）：</w:t>
            </w:r>
          </w:p>
        </w:tc>
        <w:tc>
          <w:tcPr>
            <w:tcW w:w="4443" w:type="dxa"/>
            <w:tcBorders>
              <w:tl2br w:val="nil"/>
              <w:tr2bl w:val="nil"/>
            </w:tcBorders>
          </w:tcPr>
          <w:p>
            <w:pPr>
              <w:spacing w:line="360" w:lineRule="auto"/>
              <w:rPr>
                <w:rFonts w:ascii="宋体" w:hAnsi="宋体" w:cs="黑体"/>
                <w:b/>
                <w:bCs/>
                <w:sz w:val="28"/>
                <w:szCs w:val="28"/>
              </w:rPr>
            </w:pPr>
            <w:r>
              <w:rPr>
                <w:rFonts w:hint="eastAsia" w:ascii="宋体" w:hAnsi="宋体" w:cs="黑体"/>
                <w:b/>
                <w:bCs/>
                <w:sz w:val="28"/>
                <w:szCs w:val="28"/>
              </w:rPr>
              <w:t>乙方（公章）：</w:t>
            </w:r>
          </w:p>
          <w:p>
            <w:pPr>
              <w:spacing w:line="360" w:lineRule="auto"/>
              <w:rPr>
                <w:rFonts w:ascii="宋体" w:hAnsi="宋体" w:cs="黑体"/>
                <w:b/>
                <w:bCs/>
                <w:sz w:val="28"/>
                <w:szCs w:val="28"/>
              </w:rPr>
            </w:pPr>
          </w:p>
          <w:p>
            <w:pPr>
              <w:spacing w:line="360" w:lineRule="auto"/>
              <w:rPr>
                <w:rFonts w:ascii="宋体" w:hAnsi="宋体" w:cs="黑体"/>
                <w:b/>
                <w:bCs/>
                <w:sz w:val="28"/>
                <w:szCs w:val="28"/>
              </w:rPr>
            </w:pPr>
          </w:p>
          <w:p>
            <w:pPr>
              <w:spacing w:line="360" w:lineRule="auto"/>
              <w:rPr>
                <w:rFonts w:ascii="宋体" w:hAnsi="宋体" w:cs="黑体"/>
                <w:b/>
                <w:bCs/>
                <w:sz w:val="28"/>
                <w:szCs w:val="28"/>
              </w:rPr>
            </w:pPr>
            <w:r>
              <w:rPr>
                <w:rFonts w:hint="eastAsia" w:ascii="宋体" w:hAnsi="宋体" w:cs="黑体"/>
                <w:b/>
                <w:bCs/>
                <w:sz w:val="28"/>
                <w:szCs w:val="28"/>
              </w:rPr>
              <w:t>乙方法定代表人或授权代表</w:t>
            </w:r>
          </w:p>
          <w:p>
            <w:pPr>
              <w:spacing w:line="360" w:lineRule="auto"/>
              <w:rPr>
                <w:rFonts w:ascii="宋体" w:hAnsi="宋体" w:cs="黑体"/>
                <w:b/>
                <w:bCs/>
                <w:sz w:val="28"/>
                <w:szCs w:val="28"/>
              </w:rPr>
            </w:pPr>
            <w:r>
              <w:rPr>
                <w:rFonts w:hint="eastAsia" w:ascii="宋体" w:hAnsi="宋体" w:cs="黑体"/>
                <w:b/>
                <w:bCs/>
                <w:sz w:val="28"/>
                <w:szCs w:val="28"/>
              </w:rPr>
              <w:t>（签章）：</w:t>
            </w:r>
          </w:p>
          <w:p>
            <w:pPr>
              <w:spacing w:line="360" w:lineRule="auto"/>
              <w:rPr>
                <w:rFonts w:ascii="宋体" w:hAnsi="宋体" w:cs="黑体"/>
                <w:b/>
                <w:bCs/>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85" w:type="dxa"/>
            <w:gridSpan w:val="2"/>
            <w:tcBorders>
              <w:tl2br w:val="nil"/>
              <w:tr2bl w:val="nil"/>
            </w:tcBorders>
          </w:tcPr>
          <w:p>
            <w:pPr>
              <w:spacing w:line="360" w:lineRule="auto"/>
              <w:jc w:val="center"/>
              <w:rPr>
                <w:rFonts w:ascii="宋体" w:hAnsi="宋体" w:cs="黑体"/>
                <w:b/>
                <w:bCs/>
                <w:sz w:val="28"/>
                <w:szCs w:val="28"/>
              </w:rPr>
            </w:pPr>
            <w:r>
              <w:rPr>
                <w:rFonts w:hint="eastAsia" w:ascii="宋体" w:hAnsi="宋体" w:cs="黑体"/>
                <w:b/>
                <w:bCs/>
                <w:sz w:val="28"/>
                <w:szCs w:val="28"/>
              </w:rPr>
              <w:t>签订日期：年月日</w:t>
            </w:r>
          </w:p>
        </w:tc>
      </w:tr>
    </w:tbl>
    <w:p>
      <w:pPr>
        <w:spacing w:line="360" w:lineRule="auto"/>
      </w:pPr>
    </w:p>
    <w:p>
      <w:pPr>
        <w:spacing w:line="360" w:lineRule="auto"/>
        <w:outlineLvl w:val="0"/>
        <w:rPr>
          <w:sz w:val="28"/>
          <w:szCs w:val="28"/>
        </w:rPr>
      </w:pPr>
      <w:bookmarkStart w:id="64" w:name="_Toc17032"/>
      <w:r>
        <w:rPr>
          <w:rFonts w:hint="eastAsia"/>
          <w:sz w:val="28"/>
          <w:szCs w:val="28"/>
        </w:rPr>
        <w:t>附件一：租赁场地平面图</w:t>
      </w:r>
      <w:bookmarkEnd w:id="64"/>
    </w:p>
    <w:p>
      <w:pPr>
        <w:spacing w:line="360" w:lineRule="auto"/>
        <w:rPr>
          <w:rFonts w:hint="eastAsia" w:eastAsia="宋体"/>
          <w:lang w:eastAsia="zh-CN"/>
        </w:rPr>
      </w:pPr>
    </w:p>
    <w:sectPr>
      <w:headerReference r:id="rId5" w:type="first"/>
      <w:headerReference r:id="rId3" w:type="default"/>
      <w:footerReference r:id="rId6" w:type="default"/>
      <w:headerReference r:id="rId4" w:type="even"/>
      <w:pgSz w:w="11906" w:h="16838"/>
      <w:pgMar w:top="1440" w:right="1440"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03039"/>
    </w:sdtPr>
    <w:sdtEndPr>
      <w:rPr>
        <w:sz w:val="21"/>
      </w:rPr>
    </w:sdtEndPr>
    <w:sdtContent>
      <w:sdt>
        <w:sdtPr>
          <w:id w:val="7103038"/>
        </w:sdtPr>
        <w:sdtEndPr>
          <w:rPr>
            <w:sz w:val="21"/>
          </w:rPr>
        </w:sdtEndPr>
        <w:sdtContent>
          <w:p>
            <w:pPr>
              <w:pStyle w:val="8"/>
              <w:jc w:val="center"/>
            </w:pPr>
            <w:r>
              <w:rPr>
                <w:b/>
                <w:bCs/>
                <w:sz w:val="21"/>
                <w:szCs w:val="24"/>
              </w:rPr>
              <w:fldChar w:fldCharType="begin"/>
            </w:r>
            <w:r>
              <w:rPr>
                <w:b/>
                <w:bCs/>
                <w:sz w:val="21"/>
              </w:rPr>
              <w:instrText xml:space="preserve">PAGE</w:instrText>
            </w:r>
            <w:r>
              <w:rPr>
                <w:b/>
                <w:bCs/>
                <w:sz w:val="21"/>
                <w:szCs w:val="24"/>
              </w:rPr>
              <w:fldChar w:fldCharType="separate"/>
            </w:r>
            <w:r>
              <w:rPr>
                <w:b/>
                <w:bCs/>
                <w:sz w:val="21"/>
              </w:rPr>
              <w:t>10</w:t>
            </w:r>
            <w:r>
              <w:rPr>
                <w:b/>
                <w:bCs/>
                <w:sz w:val="21"/>
                <w:szCs w:val="24"/>
              </w:rPr>
              <w:fldChar w:fldCharType="end"/>
            </w:r>
            <w:r>
              <w:rPr>
                <w:sz w:val="21"/>
                <w:lang w:val="zh-CN"/>
              </w:rPr>
              <w:t>/</w:t>
            </w:r>
            <w:r>
              <w:rPr>
                <w:bCs/>
                <w:sz w:val="21"/>
                <w:szCs w:val="24"/>
              </w:rPr>
              <w:fldChar w:fldCharType="begin"/>
            </w:r>
            <w:r>
              <w:rPr>
                <w:rFonts w:hint="eastAsia"/>
                <w:bCs/>
                <w:sz w:val="21"/>
                <w:szCs w:val="24"/>
              </w:rPr>
              <w:instrText xml:space="preserve">=</w:instrText>
            </w:r>
            <w:r>
              <w:rPr>
                <w:bCs/>
                <w:sz w:val="21"/>
                <w:szCs w:val="24"/>
              </w:rPr>
              <w:fldChar w:fldCharType="begin"/>
            </w:r>
            <w:r>
              <w:rPr>
                <w:bCs/>
                <w:sz w:val="21"/>
              </w:rPr>
              <w:instrText xml:space="preserve">NUMPAGES</w:instrText>
            </w:r>
            <w:r>
              <w:rPr>
                <w:bCs/>
                <w:sz w:val="21"/>
                <w:szCs w:val="24"/>
              </w:rPr>
              <w:fldChar w:fldCharType="separate"/>
            </w:r>
            <w:r>
              <w:rPr>
                <w:bCs/>
                <w:sz w:val="21"/>
              </w:rPr>
              <w:instrText xml:space="preserve">22</w:instrText>
            </w:r>
            <w:r>
              <w:rPr>
                <w:bCs/>
                <w:sz w:val="21"/>
                <w:szCs w:val="24"/>
              </w:rPr>
              <w:fldChar w:fldCharType="end"/>
            </w:r>
            <w:r>
              <w:rPr>
                <w:bCs/>
                <w:sz w:val="21"/>
                <w:szCs w:val="24"/>
              </w:rPr>
              <w:instrText xml:space="preserve">-2 </w:instrText>
            </w:r>
            <w:r>
              <w:rPr>
                <w:bCs/>
                <w:sz w:val="21"/>
                <w:szCs w:val="24"/>
              </w:rPr>
              <w:fldChar w:fldCharType="separate"/>
            </w:r>
            <w:r>
              <w:rPr>
                <w:bCs/>
                <w:sz w:val="21"/>
                <w:szCs w:val="24"/>
              </w:rPr>
              <w:t>20</w:t>
            </w:r>
            <w:r>
              <w:rPr>
                <w:bCs/>
                <w:sz w:val="21"/>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lang w:eastAsia="zh-CN"/>
      </w:rPr>
      <w:t>合同</w:t>
    </w:r>
    <w:r>
      <w:rPr>
        <w:rFonts w:hint="eastAsia"/>
      </w:rPr>
      <w:t>编号：</w:t>
    </w:r>
    <w:r>
      <w:t>GIEG202</w:t>
    </w:r>
    <w:r>
      <w:rPr>
        <w:rFonts w:hint="eastAsia"/>
        <w:lang w:val="en-US" w:eastAsia="zh-CN"/>
      </w:rPr>
      <w:t>6</w:t>
    </w:r>
    <w:r>
      <w:t>HZ-</w:t>
    </w:r>
    <w:r>
      <w:rPr>
        <w:rFonts w:hint="eastAsia"/>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A4431"/>
    <w:multiLevelType w:val="multilevel"/>
    <w:tmpl w:val="178A4431"/>
    <w:lvl w:ilvl="0" w:tentative="0">
      <w:start w:val="1"/>
      <w:numFmt w:val="chineseCountingThousand"/>
      <w:pStyle w:val="30"/>
      <w:suff w:val="space"/>
      <w:lvlText w:val="第%1条."/>
      <w:lvlJc w:val="left"/>
      <w:pPr>
        <w:ind w:left="0" w:firstLine="0"/>
      </w:pPr>
      <w:rPr>
        <w:rFonts w:hint="default"/>
      </w:rPr>
    </w:lvl>
    <w:lvl w:ilvl="1" w:tentative="0">
      <w:start w:val="1"/>
      <w:numFmt w:val="decimal"/>
      <w:pStyle w:val="31"/>
      <w:isLgl/>
      <w:suff w:val="space"/>
      <w:lvlText w:val="%1.%2."/>
      <w:lvlJc w:val="left"/>
      <w:pPr>
        <w:ind w:left="0" w:firstLine="0"/>
      </w:pPr>
      <w:rPr>
        <w:rFonts w:hint="default"/>
      </w:rPr>
    </w:lvl>
    <w:lvl w:ilvl="2" w:tentative="0">
      <w:start w:val="1"/>
      <w:numFmt w:val="decimal"/>
      <w:pStyle w:val="32"/>
      <w:isLgl/>
      <w:suff w:val="space"/>
      <w:lvlText w:val="%1.%2.%3."/>
      <w:lvlJc w:val="left"/>
      <w:pPr>
        <w:ind w:left="709" w:hanging="709"/>
      </w:pPr>
      <w:rPr>
        <w:rFonts w:hint="default"/>
      </w:rPr>
    </w:lvl>
    <w:lvl w:ilvl="3" w:tentative="0">
      <w:start w:val="1"/>
      <w:numFmt w:val="decimal"/>
      <w:isLgl/>
      <w:lvlText w:val="%1.%2.%3.%4."/>
      <w:lvlJc w:val="left"/>
      <w:pPr>
        <w:ind w:left="851" w:hanging="851"/>
      </w:pPr>
      <w:rPr>
        <w:rFonts w:hint="default"/>
      </w:rPr>
    </w:lvl>
    <w:lvl w:ilvl="4" w:tentative="0">
      <w:start w:val="1"/>
      <w:numFmt w:val="decimal"/>
      <w:isLgl/>
      <w:lvlText w:val="%1.%2.%3.%4.%5."/>
      <w:lvlJc w:val="left"/>
      <w:pPr>
        <w:ind w:left="992" w:hanging="992"/>
      </w:pPr>
      <w:rPr>
        <w:rFonts w:hint="default"/>
      </w:rPr>
    </w:lvl>
    <w:lvl w:ilvl="5" w:tentative="0">
      <w:start w:val="1"/>
      <w:numFmt w:val="decimal"/>
      <w:isLgl/>
      <w:lvlText w:val="%1.%2.%3.%4.%5.%6."/>
      <w:lvlJc w:val="left"/>
      <w:pPr>
        <w:ind w:left="1134" w:hanging="1134"/>
      </w:pPr>
      <w:rPr>
        <w:rFonts w:hint="default"/>
      </w:rPr>
    </w:lvl>
    <w:lvl w:ilvl="6" w:tentative="0">
      <w:start w:val="1"/>
      <w:numFmt w:val="decimal"/>
      <w:isLgl/>
      <w:lvlText w:val="%1.%2.%3.%4.%5.%6.%7."/>
      <w:lvlJc w:val="left"/>
      <w:pPr>
        <w:ind w:left="1276" w:hanging="1276"/>
      </w:pPr>
      <w:rPr>
        <w:rFonts w:hint="default"/>
      </w:rPr>
    </w:lvl>
    <w:lvl w:ilvl="7" w:tentative="0">
      <w:start w:val="1"/>
      <w:numFmt w:val="decimal"/>
      <w:isLgl/>
      <w:lvlText w:val="%1.%2.%3.%4.%5.%6.%7.%8."/>
      <w:lvlJc w:val="left"/>
      <w:pPr>
        <w:ind w:left="1418" w:hanging="1418"/>
      </w:pPr>
      <w:rPr>
        <w:rFonts w:hint="default"/>
      </w:rPr>
    </w:lvl>
    <w:lvl w:ilvl="8" w:tentative="0">
      <w:start w:val="1"/>
      <w:numFmt w:val="decimal"/>
      <w:isLgl/>
      <w:lvlText w:val="%1.%2.%3.%4.%5.%6.%7.%8.%9."/>
      <w:lvlJc w:val="left"/>
      <w:pPr>
        <w:ind w:left="1559" w:hanging="1559"/>
      </w:pPr>
      <w:rPr>
        <w:rFonts w:hint="default"/>
      </w:rPr>
    </w:lvl>
  </w:abstractNum>
  <w:abstractNum w:abstractNumId="1">
    <w:nsid w:val="23C614A8"/>
    <w:multiLevelType w:val="multilevel"/>
    <w:tmpl w:val="23C614A8"/>
    <w:lvl w:ilvl="0" w:tentative="0">
      <w:start w:val="1"/>
      <w:numFmt w:val="decimal"/>
      <w:pStyle w:val="10"/>
      <w:suff w:val="space"/>
      <w:lvlText w:val="第%1条"/>
      <w:lvlJc w:val="left"/>
      <w:pPr>
        <w:ind w:left="426" w:firstLine="0"/>
      </w:pPr>
      <w:rPr>
        <w:rFonts w:hint="default" w:ascii="Times New Roman" w:hAnsi="Times New Roman" w:eastAsia="宋体"/>
        <w:b/>
        <w:i w:val="0"/>
        <w:sz w:val="28"/>
        <w:lang w:val="en-US"/>
      </w:rPr>
    </w:lvl>
    <w:lvl w:ilvl="1" w:tentative="0">
      <w:start w:val="1"/>
      <w:numFmt w:val="decimal"/>
      <w:pStyle w:val="12"/>
      <w:suff w:val="space"/>
      <w:lvlText w:val="%1.%2"/>
      <w:lvlJc w:val="left"/>
      <w:pPr>
        <w:ind w:left="-83" w:firstLine="510"/>
      </w:pPr>
      <w:rPr>
        <w:rFonts w:hint="default" w:ascii="Times New Roman" w:hAnsi="Times New Roman"/>
        <w:b w:val="0"/>
        <w:color w:val="auto"/>
        <w:sz w:val="28"/>
      </w:rPr>
    </w:lvl>
    <w:lvl w:ilvl="2" w:tentative="0">
      <w:start w:val="1"/>
      <w:numFmt w:val="decimal"/>
      <w:pStyle w:val="6"/>
      <w:suff w:val="space"/>
      <w:lvlText w:val="%1.%2.%3"/>
      <w:lvlJc w:val="left"/>
      <w:pPr>
        <w:ind w:left="0" w:firstLine="680"/>
      </w:pPr>
      <w:rPr>
        <w:rFonts w:hint="default" w:ascii="Times New Roman" w:hAnsi="Times New Roman"/>
        <w:color w:val="auto"/>
        <w:sz w:val="28"/>
      </w:rPr>
    </w:lvl>
    <w:lvl w:ilvl="3" w:tentative="0">
      <w:start w:val="1"/>
      <w:numFmt w:val="decimal"/>
      <w:pStyle w:val="11"/>
      <w:suff w:val="space"/>
      <w:lvlText w:val="%1.%2.%3.%4"/>
      <w:lvlJc w:val="left"/>
      <w:pPr>
        <w:ind w:left="0" w:firstLine="794"/>
      </w:pPr>
      <w:rPr>
        <w:rFonts w:hint="default" w:ascii="Times New Roman" w:hAnsi="Times New Roman"/>
        <w:sz w:val="28"/>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MmRlZDc5YTNhYjFiYWFlMDEzMmFmNGE5NWNlOWUifQ=="/>
  </w:docVars>
  <w:rsids>
    <w:rsidRoot w:val="00172A27"/>
    <w:rsid w:val="000010D4"/>
    <w:rsid w:val="000019EB"/>
    <w:rsid w:val="00001A2A"/>
    <w:rsid w:val="00001A91"/>
    <w:rsid w:val="000035B6"/>
    <w:rsid w:val="000035B9"/>
    <w:rsid w:val="0000703C"/>
    <w:rsid w:val="00010C43"/>
    <w:rsid w:val="00012A60"/>
    <w:rsid w:val="00013AA9"/>
    <w:rsid w:val="000158C2"/>
    <w:rsid w:val="00020FD0"/>
    <w:rsid w:val="0002709E"/>
    <w:rsid w:val="000333EA"/>
    <w:rsid w:val="000370C5"/>
    <w:rsid w:val="000417FD"/>
    <w:rsid w:val="0004305E"/>
    <w:rsid w:val="000435D9"/>
    <w:rsid w:val="00044D26"/>
    <w:rsid w:val="00046679"/>
    <w:rsid w:val="000469B4"/>
    <w:rsid w:val="00051F96"/>
    <w:rsid w:val="000537DA"/>
    <w:rsid w:val="00053E55"/>
    <w:rsid w:val="00056B72"/>
    <w:rsid w:val="00057A96"/>
    <w:rsid w:val="000611B2"/>
    <w:rsid w:val="00070F40"/>
    <w:rsid w:val="000710AC"/>
    <w:rsid w:val="00071EE3"/>
    <w:rsid w:val="00071F32"/>
    <w:rsid w:val="00071F94"/>
    <w:rsid w:val="0007267A"/>
    <w:rsid w:val="00077D64"/>
    <w:rsid w:val="00077E67"/>
    <w:rsid w:val="00083990"/>
    <w:rsid w:val="000851EB"/>
    <w:rsid w:val="000851FA"/>
    <w:rsid w:val="00087D15"/>
    <w:rsid w:val="00091E99"/>
    <w:rsid w:val="00094709"/>
    <w:rsid w:val="000955BC"/>
    <w:rsid w:val="00096C7B"/>
    <w:rsid w:val="0009780E"/>
    <w:rsid w:val="000A2E76"/>
    <w:rsid w:val="000A4429"/>
    <w:rsid w:val="000A4CC2"/>
    <w:rsid w:val="000A7FC5"/>
    <w:rsid w:val="000B2558"/>
    <w:rsid w:val="000B6578"/>
    <w:rsid w:val="000C0C71"/>
    <w:rsid w:val="000C0FF4"/>
    <w:rsid w:val="000C105F"/>
    <w:rsid w:val="000C26EF"/>
    <w:rsid w:val="000C606B"/>
    <w:rsid w:val="000C78B7"/>
    <w:rsid w:val="000C7C5E"/>
    <w:rsid w:val="000C7D5B"/>
    <w:rsid w:val="000D3CD0"/>
    <w:rsid w:val="000D5711"/>
    <w:rsid w:val="000E1F5E"/>
    <w:rsid w:val="000E4799"/>
    <w:rsid w:val="000E5D5C"/>
    <w:rsid w:val="000E5EF2"/>
    <w:rsid w:val="000E7E97"/>
    <w:rsid w:val="000F105B"/>
    <w:rsid w:val="000F1EEB"/>
    <w:rsid w:val="000F3324"/>
    <w:rsid w:val="000F4154"/>
    <w:rsid w:val="000F6A6F"/>
    <w:rsid w:val="00103BD7"/>
    <w:rsid w:val="00106DCA"/>
    <w:rsid w:val="00106E8C"/>
    <w:rsid w:val="001078A6"/>
    <w:rsid w:val="00110FB4"/>
    <w:rsid w:val="00111687"/>
    <w:rsid w:val="00112E1C"/>
    <w:rsid w:val="0011330E"/>
    <w:rsid w:val="0011336A"/>
    <w:rsid w:val="00117BC1"/>
    <w:rsid w:val="00117F53"/>
    <w:rsid w:val="00120636"/>
    <w:rsid w:val="00121623"/>
    <w:rsid w:val="00121FCD"/>
    <w:rsid w:val="00123A4C"/>
    <w:rsid w:val="0012454E"/>
    <w:rsid w:val="00124931"/>
    <w:rsid w:val="0012566C"/>
    <w:rsid w:val="00127BD2"/>
    <w:rsid w:val="00131CB3"/>
    <w:rsid w:val="00131DEB"/>
    <w:rsid w:val="001333F2"/>
    <w:rsid w:val="00136D93"/>
    <w:rsid w:val="0014000F"/>
    <w:rsid w:val="001425B8"/>
    <w:rsid w:val="001475DC"/>
    <w:rsid w:val="00150EB3"/>
    <w:rsid w:val="00151577"/>
    <w:rsid w:val="00151E24"/>
    <w:rsid w:val="001541F8"/>
    <w:rsid w:val="00154A96"/>
    <w:rsid w:val="0015660E"/>
    <w:rsid w:val="0015702A"/>
    <w:rsid w:val="0016447A"/>
    <w:rsid w:val="00164E6E"/>
    <w:rsid w:val="00165ACC"/>
    <w:rsid w:val="00165DB4"/>
    <w:rsid w:val="00165E57"/>
    <w:rsid w:val="0017187E"/>
    <w:rsid w:val="00171AD9"/>
    <w:rsid w:val="00172A27"/>
    <w:rsid w:val="00173B52"/>
    <w:rsid w:val="00174C84"/>
    <w:rsid w:val="00176D10"/>
    <w:rsid w:val="00177167"/>
    <w:rsid w:val="0018060D"/>
    <w:rsid w:val="00183EDC"/>
    <w:rsid w:val="00184C3F"/>
    <w:rsid w:val="0018514C"/>
    <w:rsid w:val="00190A93"/>
    <w:rsid w:val="00191C12"/>
    <w:rsid w:val="001921C8"/>
    <w:rsid w:val="00192317"/>
    <w:rsid w:val="00193737"/>
    <w:rsid w:val="00195ADD"/>
    <w:rsid w:val="001A0939"/>
    <w:rsid w:val="001A0C5D"/>
    <w:rsid w:val="001A0EE9"/>
    <w:rsid w:val="001A13AB"/>
    <w:rsid w:val="001A5B60"/>
    <w:rsid w:val="001A5D9A"/>
    <w:rsid w:val="001B52BE"/>
    <w:rsid w:val="001B5BAC"/>
    <w:rsid w:val="001B66EA"/>
    <w:rsid w:val="001C0201"/>
    <w:rsid w:val="001C1F3F"/>
    <w:rsid w:val="001C30D8"/>
    <w:rsid w:val="001C38A4"/>
    <w:rsid w:val="001C4E31"/>
    <w:rsid w:val="001C6386"/>
    <w:rsid w:val="001C6C8C"/>
    <w:rsid w:val="001D29C9"/>
    <w:rsid w:val="001D2FAB"/>
    <w:rsid w:val="001D301E"/>
    <w:rsid w:val="001D30F5"/>
    <w:rsid w:val="001D6C3C"/>
    <w:rsid w:val="001D6DAE"/>
    <w:rsid w:val="001D78D9"/>
    <w:rsid w:val="001E19BC"/>
    <w:rsid w:val="001E2124"/>
    <w:rsid w:val="001E2169"/>
    <w:rsid w:val="001E2772"/>
    <w:rsid w:val="001E2E00"/>
    <w:rsid w:val="001E2E09"/>
    <w:rsid w:val="001E3F6A"/>
    <w:rsid w:val="001E6282"/>
    <w:rsid w:val="001F0067"/>
    <w:rsid w:val="001F00FF"/>
    <w:rsid w:val="001F1120"/>
    <w:rsid w:val="001F3871"/>
    <w:rsid w:val="001F3B82"/>
    <w:rsid w:val="001F3CC1"/>
    <w:rsid w:val="001F7467"/>
    <w:rsid w:val="002000C6"/>
    <w:rsid w:val="002000D8"/>
    <w:rsid w:val="00203AD9"/>
    <w:rsid w:val="002047E2"/>
    <w:rsid w:val="00205E13"/>
    <w:rsid w:val="00210EE5"/>
    <w:rsid w:val="00214559"/>
    <w:rsid w:val="00215210"/>
    <w:rsid w:val="00216DDD"/>
    <w:rsid w:val="00220D79"/>
    <w:rsid w:val="00221784"/>
    <w:rsid w:val="00221AEB"/>
    <w:rsid w:val="00223A07"/>
    <w:rsid w:val="00223D21"/>
    <w:rsid w:val="002311B7"/>
    <w:rsid w:val="002324DA"/>
    <w:rsid w:val="0023567D"/>
    <w:rsid w:val="0024137D"/>
    <w:rsid w:val="002479CB"/>
    <w:rsid w:val="00250AAD"/>
    <w:rsid w:val="002553C2"/>
    <w:rsid w:val="002568EF"/>
    <w:rsid w:val="00257F48"/>
    <w:rsid w:val="00262129"/>
    <w:rsid w:val="00262274"/>
    <w:rsid w:val="00262723"/>
    <w:rsid w:val="002632C5"/>
    <w:rsid w:val="00264AAF"/>
    <w:rsid w:val="00267A62"/>
    <w:rsid w:val="00270A91"/>
    <w:rsid w:val="002714EA"/>
    <w:rsid w:val="0027258B"/>
    <w:rsid w:val="00274B46"/>
    <w:rsid w:val="00281B58"/>
    <w:rsid w:val="00286E64"/>
    <w:rsid w:val="00293E25"/>
    <w:rsid w:val="00297550"/>
    <w:rsid w:val="002A27EF"/>
    <w:rsid w:val="002A4122"/>
    <w:rsid w:val="002A450D"/>
    <w:rsid w:val="002A736E"/>
    <w:rsid w:val="002B0312"/>
    <w:rsid w:val="002B1609"/>
    <w:rsid w:val="002B27DF"/>
    <w:rsid w:val="002B36E0"/>
    <w:rsid w:val="002B3C4B"/>
    <w:rsid w:val="002B4EEE"/>
    <w:rsid w:val="002B742F"/>
    <w:rsid w:val="002C13BB"/>
    <w:rsid w:val="002C14A7"/>
    <w:rsid w:val="002C1768"/>
    <w:rsid w:val="002C6632"/>
    <w:rsid w:val="002C69CB"/>
    <w:rsid w:val="002C76EC"/>
    <w:rsid w:val="002C79B0"/>
    <w:rsid w:val="002D03D0"/>
    <w:rsid w:val="002D2062"/>
    <w:rsid w:val="002D7F54"/>
    <w:rsid w:val="002E4C35"/>
    <w:rsid w:val="002E6C30"/>
    <w:rsid w:val="002E6F42"/>
    <w:rsid w:val="002E749C"/>
    <w:rsid w:val="002E7EF1"/>
    <w:rsid w:val="002F092A"/>
    <w:rsid w:val="002F14E4"/>
    <w:rsid w:val="002F175A"/>
    <w:rsid w:val="002F178F"/>
    <w:rsid w:val="002F590C"/>
    <w:rsid w:val="00301D44"/>
    <w:rsid w:val="00302335"/>
    <w:rsid w:val="0030400B"/>
    <w:rsid w:val="003043A6"/>
    <w:rsid w:val="00304B00"/>
    <w:rsid w:val="00307B6B"/>
    <w:rsid w:val="00311C21"/>
    <w:rsid w:val="00313722"/>
    <w:rsid w:val="003137CB"/>
    <w:rsid w:val="0031582C"/>
    <w:rsid w:val="00316A0B"/>
    <w:rsid w:val="00322901"/>
    <w:rsid w:val="00322C4D"/>
    <w:rsid w:val="00324D49"/>
    <w:rsid w:val="003269DC"/>
    <w:rsid w:val="00327380"/>
    <w:rsid w:val="00327CEA"/>
    <w:rsid w:val="00330755"/>
    <w:rsid w:val="0033188C"/>
    <w:rsid w:val="00333F4B"/>
    <w:rsid w:val="00334AEF"/>
    <w:rsid w:val="00336AAB"/>
    <w:rsid w:val="0034030B"/>
    <w:rsid w:val="003408F9"/>
    <w:rsid w:val="00341987"/>
    <w:rsid w:val="003502D2"/>
    <w:rsid w:val="00352844"/>
    <w:rsid w:val="003563B4"/>
    <w:rsid w:val="0036353E"/>
    <w:rsid w:val="003645D9"/>
    <w:rsid w:val="00365B0E"/>
    <w:rsid w:val="00366210"/>
    <w:rsid w:val="00374220"/>
    <w:rsid w:val="003756DB"/>
    <w:rsid w:val="00387950"/>
    <w:rsid w:val="00397945"/>
    <w:rsid w:val="003A0D68"/>
    <w:rsid w:val="003A104C"/>
    <w:rsid w:val="003A226B"/>
    <w:rsid w:val="003A4276"/>
    <w:rsid w:val="003A4B01"/>
    <w:rsid w:val="003B0D2A"/>
    <w:rsid w:val="003B108D"/>
    <w:rsid w:val="003B2321"/>
    <w:rsid w:val="003B318A"/>
    <w:rsid w:val="003B5F48"/>
    <w:rsid w:val="003B6BD9"/>
    <w:rsid w:val="003D0C4C"/>
    <w:rsid w:val="003D3AD4"/>
    <w:rsid w:val="003D5A07"/>
    <w:rsid w:val="003E0FD4"/>
    <w:rsid w:val="003E2074"/>
    <w:rsid w:val="003E2371"/>
    <w:rsid w:val="003E3EF4"/>
    <w:rsid w:val="003E6335"/>
    <w:rsid w:val="003F0F83"/>
    <w:rsid w:val="003F1431"/>
    <w:rsid w:val="003F3A06"/>
    <w:rsid w:val="003F6FD7"/>
    <w:rsid w:val="003F719D"/>
    <w:rsid w:val="00401771"/>
    <w:rsid w:val="004043B5"/>
    <w:rsid w:val="00405961"/>
    <w:rsid w:val="00410688"/>
    <w:rsid w:val="00412324"/>
    <w:rsid w:val="00414774"/>
    <w:rsid w:val="00416848"/>
    <w:rsid w:val="004237C4"/>
    <w:rsid w:val="00431BA9"/>
    <w:rsid w:val="004357C3"/>
    <w:rsid w:val="00436E0E"/>
    <w:rsid w:val="004374ED"/>
    <w:rsid w:val="0044023F"/>
    <w:rsid w:val="004404CD"/>
    <w:rsid w:val="00441C3C"/>
    <w:rsid w:val="0044251A"/>
    <w:rsid w:val="0044544D"/>
    <w:rsid w:val="00447A09"/>
    <w:rsid w:val="00447D0C"/>
    <w:rsid w:val="00450951"/>
    <w:rsid w:val="00450B00"/>
    <w:rsid w:val="00454E78"/>
    <w:rsid w:val="00455563"/>
    <w:rsid w:val="00455692"/>
    <w:rsid w:val="0046190C"/>
    <w:rsid w:val="00461F4E"/>
    <w:rsid w:val="0046226E"/>
    <w:rsid w:val="0046511D"/>
    <w:rsid w:val="004661F9"/>
    <w:rsid w:val="004701DE"/>
    <w:rsid w:val="00471FE9"/>
    <w:rsid w:val="0047277E"/>
    <w:rsid w:val="00475582"/>
    <w:rsid w:val="004845EF"/>
    <w:rsid w:val="00484C44"/>
    <w:rsid w:val="0049369F"/>
    <w:rsid w:val="004A0E64"/>
    <w:rsid w:val="004A69A1"/>
    <w:rsid w:val="004A6D93"/>
    <w:rsid w:val="004B0916"/>
    <w:rsid w:val="004B1DC5"/>
    <w:rsid w:val="004B3645"/>
    <w:rsid w:val="004B6F76"/>
    <w:rsid w:val="004B6FAE"/>
    <w:rsid w:val="004C0CC8"/>
    <w:rsid w:val="004C151D"/>
    <w:rsid w:val="004C19F5"/>
    <w:rsid w:val="004C2411"/>
    <w:rsid w:val="004C4073"/>
    <w:rsid w:val="004D4642"/>
    <w:rsid w:val="004D47AA"/>
    <w:rsid w:val="004D53C7"/>
    <w:rsid w:val="004D68B5"/>
    <w:rsid w:val="004E087C"/>
    <w:rsid w:val="004E1240"/>
    <w:rsid w:val="004E601D"/>
    <w:rsid w:val="004F26FC"/>
    <w:rsid w:val="004F2A8D"/>
    <w:rsid w:val="004F4A54"/>
    <w:rsid w:val="004F4EDA"/>
    <w:rsid w:val="004F73FB"/>
    <w:rsid w:val="00501850"/>
    <w:rsid w:val="00504F07"/>
    <w:rsid w:val="00505E9C"/>
    <w:rsid w:val="00510804"/>
    <w:rsid w:val="0051252D"/>
    <w:rsid w:val="00512D84"/>
    <w:rsid w:val="005131DF"/>
    <w:rsid w:val="00516649"/>
    <w:rsid w:val="0052145E"/>
    <w:rsid w:val="00522CD9"/>
    <w:rsid w:val="00523F8A"/>
    <w:rsid w:val="005240E5"/>
    <w:rsid w:val="00524F71"/>
    <w:rsid w:val="0052766D"/>
    <w:rsid w:val="005310B4"/>
    <w:rsid w:val="0053177E"/>
    <w:rsid w:val="00532843"/>
    <w:rsid w:val="0053463F"/>
    <w:rsid w:val="005350E8"/>
    <w:rsid w:val="005378C1"/>
    <w:rsid w:val="005378D8"/>
    <w:rsid w:val="00540471"/>
    <w:rsid w:val="00546975"/>
    <w:rsid w:val="005472BC"/>
    <w:rsid w:val="00547949"/>
    <w:rsid w:val="0055031D"/>
    <w:rsid w:val="0055448E"/>
    <w:rsid w:val="00555597"/>
    <w:rsid w:val="00563FA3"/>
    <w:rsid w:val="005664D6"/>
    <w:rsid w:val="00567291"/>
    <w:rsid w:val="00567D76"/>
    <w:rsid w:val="0057064D"/>
    <w:rsid w:val="0057129F"/>
    <w:rsid w:val="00574146"/>
    <w:rsid w:val="00575D9C"/>
    <w:rsid w:val="00575E95"/>
    <w:rsid w:val="00581C1C"/>
    <w:rsid w:val="005828BA"/>
    <w:rsid w:val="00584424"/>
    <w:rsid w:val="00585061"/>
    <w:rsid w:val="005919BF"/>
    <w:rsid w:val="005935FF"/>
    <w:rsid w:val="00594219"/>
    <w:rsid w:val="005957C8"/>
    <w:rsid w:val="00597563"/>
    <w:rsid w:val="005976DF"/>
    <w:rsid w:val="005A0455"/>
    <w:rsid w:val="005A2638"/>
    <w:rsid w:val="005A26FE"/>
    <w:rsid w:val="005A40AE"/>
    <w:rsid w:val="005B27A4"/>
    <w:rsid w:val="005B335D"/>
    <w:rsid w:val="005B7B98"/>
    <w:rsid w:val="005C10FE"/>
    <w:rsid w:val="005C1CD6"/>
    <w:rsid w:val="005C4D2E"/>
    <w:rsid w:val="005D0D4C"/>
    <w:rsid w:val="005D1925"/>
    <w:rsid w:val="005D2545"/>
    <w:rsid w:val="005D59F2"/>
    <w:rsid w:val="005E293E"/>
    <w:rsid w:val="005E3AA0"/>
    <w:rsid w:val="005E412A"/>
    <w:rsid w:val="005E6213"/>
    <w:rsid w:val="005F0370"/>
    <w:rsid w:val="005F1EFB"/>
    <w:rsid w:val="005F3B26"/>
    <w:rsid w:val="005F6D28"/>
    <w:rsid w:val="005F77FF"/>
    <w:rsid w:val="006010A6"/>
    <w:rsid w:val="00601409"/>
    <w:rsid w:val="006017F7"/>
    <w:rsid w:val="006026E4"/>
    <w:rsid w:val="00602A8A"/>
    <w:rsid w:val="00603A27"/>
    <w:rsid w:val="00605E54"/>
    <w:rsid w:val="0060719E"/>
    <w:rsid w:val="00611BFA"/>
    <w:rsid w:val="0061207A"/>
    <w:rsid w:val="00615238"/>
    <w:rsid w:val="0061588F"/>
    <w:rsid w:val="00616295"/>
    <w:rsid w:val="006164D7"/>
    <w:rsid w:val="00617D49"/>
    <w:rsid w:val="00621B65"/>
    <w:rsid w:val="006241ED"/>
    <w:rsid w:val="006249DB"/>
    <w:rsid w:val="00624C19"/>
    <w:rsid w:val="00625901"/>
    <w:rsid w:val="0063091A"/>
    <w:rsid w:val="00635FF6"/>
    <w:rsid w:val="0064236F"/>
    <w:rsid w:val="00642720"/>
    <w:rsid w:val="00643036"/>
    <w:rsid w:val="0064576F"/>
    <w:rsid w:val="00651647"/>
    <w:rsid w:val="0065400A"/>
    <w:rsid w:val="00656E0E"/>
    <w:rsid w:val="006635CB"/>
    <w:rsid w:val="006676CE"/>
    <w:rsid w:val="006719CE"/>
    <w:rsid w:val="00671DDA"/>
    <w:rsid w:val="0067224F"/>
    <w:rsid w:val="00672440"/>
    <w:rsid w:val="00673B8A"/>
    <w:rsid w:val="006743B9"/>
    <w:rsid w:val="00675B1E"/>
    <w:rsid w:val="00675B55"/>
    <w:rsid w:val="00680AA8"/>
    <w:rsid w:val="00680CFD"/>
    <w:rsid w:val="00684F5E"/>
    <w:rsid w:val="00685089"/>
    <w:rsid w:val="00685288"/>
    <w:rsid w:val="00685A78"/>
    <w:rsid w:val="00692101"/>
    <w:rsid w:val="00692F97"/>
    <w:rsid w:val="006934FB"/>
    <w:rsid w:val="00693B90"/>
    <w:rsid w:val="0069563B"/>
    <w:rsid w:val="00695BEB"/>
    <w:rsid w:val="006978C6"/>
    <w:rsid w:val="006A3333"/>
    <w:rsid w:val="006A361D"/>
    <w:rsid w:val="006A3A4C"/>
    <w:rsid w:val="006A3BB2"/>
    <w:rsid w:val="006A46BD"/>
    <w:rsid w:val="006A46E1"/>
    <w:rsid w:val="006A46F9"/>
    <w:rsid w:val="006A47F1"/>
    <w:rsid w:val="006A5575"/>
    <w:rsid w:val="006A6DA3"/>
    <w:rsid w:val="006A7687"/>
    <w:rsid w:val="006B00C4"/>
    <w:rsid w:val="006B0394"/>
    <w:rsid w:val="006B14E7"/>
    <w:rsid w:val="006B298A"/>
    <w:rsid w:val="006B332E"/>
    <w:rsid w:val="006B7825"/>
    <w:rsid w:val="006B7C67"/>
    <w:rsid w:val="006C01ED"/>
    <w:rsid w:val="006C0211"/>
    <w:rsid w:val="006C11E7"/>
    <w:rsid w:val="006C28E9"/>
    <w:rsid w:val="006D2D5F"/>
    <w:rsid w:val="006D314D"/>
    <w:rsid w:val="006E2AF1"/>
    <w:rsid w:val="006E3F0F"/>
    <w:rsid w:val="006E4A45"/>
    <w:rsid w:val="006E62CD"/>
    <w:rsid w:val="006E717C"/>
    <w:rsid w:val="006E7A86"/>
    <w:rsid w:val="006F0512"/>
    <w:rsid w:val="006F29AD"/>
    <w:rsid w:val="006F6173"/>
    <w:rsid w:val="006F6377"/>
    <w:rsid w:val="006F6910"/>
    <w:rsid w:val="006F75A2"/>
    <w:rsid w:val="00704568"/>
    <w:rsid w:val="007049A9"/>
    <w:rsid w:val="0070546B"/>
    <w:rsid w:val="007064F8"/>
    <w:rsid w:val="00707031"/>
    <w:rsid w:val="00714E87"/>
    <w:rsid w:val="0071667C"/>
    <w:rsid w:val="007168B6"/>
    <w:rsid w:val="007207BA"/>
    <w:rsid w:val="00721298"/>
    <w:rsid w:val="00721572"/>
    <w:rsid w:val="0072256E"/>
    <w:rsid w:val="00722B16"/>
    <w:rsid w:val="0072319B"/>
    <w:rsid w:val="00727512"/>
    <w:rsid w:val="00731213"/>
    <w:rsid w:val="0073233B"/>
    <w:rsid w:val="00732B73"/>
    <w:rsid w:val="00740B72"/>
    <w:rsid w:val="00740DC2"/>
    <w:rsid w:val="00741326"/>
    <w:rsid w:val="00741622"/>
    <w:rsid w:val="007421CA"/>
    <w:rsid w:val="007500DC"/>
    <w:rsid w:val="00750FE9"/>
    <w:rsid w:val="007519A8"/>
    <w:rsid w:val="007531B8"/>
    <w:rsid w:val="007565A1"/>
    <w:rsid w:val="00757331"/>
    <w:rsid w:val="007576B2"/>
    <w:rsid w:val="00757C89"/>
    <w:rsid w:val="00757CC2"/>
    <w:rsid w:val="0076089D"/>
    <w:rsid w:val="00762227"/>
    <w:rsid w:val="007625AC"/>
    <w:rsid w:val="007626CD"/>
    <w:rsid w:val="00770141"/>
    <w:rsid w:val="007705AC"/>
    <w:rsid w:val="00770D78"/>
    <w:rsid w:val="0077175B"/>
    <w:rsid w:val="00773053"/>
    <w:rsid w:val="00773C52"/>
    <w:rsid w:val="00775595"/>
    <w:rsid w:val="00782581"/>
    <w:rsid w:val="00783784"/>
    <w:rsid w:val="00786C97"/>
    <w:rsid w:val="007872A5"/>
    <w:rsid w:val="0079075E"/>
    <w:rsid w:val="00795882"/>
    <w:rsid w:val="007A3010"/>
    <w:rsid w:val="007A3642"/>
    <w:rsid w:val="007A3E4F"/>
    <w:rsid w:val="007A4073"/>
    <w:rsid w:val="007A62A2"/>
    <w:rsid w:val="007A7A82"/>
    <w:rsid w:val="007A7C74"/>
    <w:rsid w:val="007B1A8A"/>
    <w:rsid w:val="007B30AA"/>
    <w:rsid w:val="007B3662"/>
    <w:rsid w:val="007B54B4"/>
    <w:rsid w:val="007B5C92"/>
    <w:rsid w:val="007B7ADA"/>
    <w:rsid w:val="007C0667"/>
    <w:rsid w:val="007C1649"/>
    <w:rsid w:val="007C4243"/>
    <w:rsid w:val="007C5132"/>
    <w:rsid w:val="007C67B3"/>
    <w:rsid w:val="007D0AE4"/>
    <w:rsid w:val="007D1D94"/>
    <w:rsid w:val="007D27E4"/>
    <w:rsid w:val="007D5F43"/>
    <w:rsid w:val="007E070E"/>
    <w:rsid w:val="007E0B02"/>
    <w:rsid w:val="007E276F"/>
    <w:rsid w:val="007E69BF"/>
    <w:rsid w:val="007F3D67"/>
    <w:rsid w:val="007F739C"/>
    <w:rsid w:val="00800CEA"/>
    <w:rsid w:val="008017D6"/>
    <w:rsid w:val="00804986"/>
    <w:rsid w:val="00805B04"/>
    <w:rsid w:val="008075AC"/>
    <w:rsid w:val="008129A7"/>
    <w:rsid w:val="00817233"/>
    <w:rsid w:val="0082050B"/>
    <w:rsid w:val="00822BEA"/>
    <w:rsid w:val="00826D74"/>
    <w:rsid w:val="00827415"/>
    <w:rsid w:val="00830529"/>
    <w:rsid w:val="008310FF"/>
    <w:rsid w:val="00836850"/>
    <w:rsid w:val="0083731D"/>
    <w:rsid w:val="00844005"/>
    <w:rsid w:val="008445DC"/>
    <w:rsid w:val="00845772"/>
    <w:rsid w:val="00846F0F"/>
    <w:rsid w:val="00850349"/>
    <w:rsid w:val="00851F24"/>
    <w:rsid w:val="00854443"/>
    <w:rsid w:val="00854F83"/>
    <w:rsid w:val="0086181C"/>
    <w:rsid w:val="00861923"/>
    <w:rsid w:val="00864592"/>
    <w:rsid w:val="0086534A"/>
    <w:rsid w:val="00866734"/>
    <w:rsid w:val="00870F7C"/>
    <w:rsid w:val="00873AA2"/>
    <w:rsid w:val="00875945"/>
    <w:rsid w:val="008775FD"/>
    <w:rsid w:val="00880C1B"/>
    <w:rsid w:val="00886023"/>
    <w:rsid w:val="00886A24"/>
    <w:rsid w:val="008919E1"/>
    <w:rsid w:val="00892FF4"/>
    <w:rsid w:val="00896F56"/>
    <w:rsid w:val="0089725C"/>
    <w:rsid w:val="008973D3"/>
    <w:rsid w:val="008A0FAD"/>
    <w:rsid w:val="008A1BCE"/>
    <w:rsid w:val="008A3FBE"/>
    <w:rsid w:val="008A5B57"/>
    <w:rsid w:val="008A691B"/>
    <w:rsid w:val="008A784B"/>
    <w:rsid w:val="008A7C29"/>
    <w:rsid w:val="008B2579"/>
    <w:rsid w:val="008B33E9"/>
    <w:rsid w:val="008B712C"/>
    <w:rsid w:val="008B7BF9"/>
    <w:rsid w:val="008C4886"/>
    <w:rsid w:val="008C536F"/>
    <w:rsid w:val="008C658B"/>
    <w:rsid w:val="008C6D45"/>
    <w:rsid w:val="008C785B"/>
    <w:rsid w:val="008D16D8"/>
    <w:rsid w:val="008D2807"/>
    <w:rsid w:val="008D427A"/>
    <w:rsid w:val="008D4519"/>
    <w:rsid w:val="008D6B05"/>
    <w:rsid w:val="008D6E9C"/>
    <w:rsid w:val="008D7ACD"/>
    <w:rsid w:val="008E2B0A"/>
    <w:rsid w:val="008E306F"/>
    <w:rsid w:val="008E4E4A"/>
    <w:rsid w:val="008E6801"/>
    <w:rsid w:val="008E7809"/>
    <w:rsid w:val="008F1224"/>
    <w:rsid w:val="008F5726"/>
    <w:rsid w:val="008F6244"/>
    <w:rsid w:val="0090362D"/>
    <w:rsid w:val="00903E28"/>
    <w:rsid w:val="0090591A"/>
    <w:rsid w:val="0090609C"/>
    <w:rsid w:val="0091314A"/>
    <w:rsid w:val="00914ADF"/>
    <w:rsid w:val="00915A30"/>
    <w:rsid w:val="00916110"/>
    <w:rsid w:val="009162BB"/>
    <w:rsid w:val="0091653C"/>
    <w:rsid w:val="00920B79"/>
    <w:rsid w:val="009319BA"/>
    <w:rsid w:val="00931D66"/>
    <w:rsid w:val="009337F1"/>
    <w:rsid w:val="00934112"/>
    <w:rsid w:val="009363FD"/>
    <w:rsid w:val="00936945"/>
    <w:rsid w:val="009408DC"/>
    <w:rsid w:val="00941A44"/>
    <w:rsid w:val="009502B8"/>
    <w:rsid w:val="00952C12"/>
    <w:rsid w:val="0095489A"/>
    <w:rsid w:val="00960992"/>
    <w:rsid w:val="0096128F"/>
    <w:rsid w:val="0096182F"/>
    <w:rsid w:val="00961833"/>
    <w:rsid w:val="00963C7A"/>
    <w:rsid w:val="009712BC"/>
    <w:rsid w:val="0097164A"/>
    <w:rsid w:val="009766C3"/>
    <w:rsid w:val="00976E05"/>
    <w:rsid w:val="0097739C"/>
    <w:rsid w:val="0098106B"/>
    <w:rsid w:val="00982EF3"/>
    <w:rsid w:val="00982F98"/>
    <w:rsid w:val="00983182"/>
    <w:rsid w:val="00983775"/>
    <w:rsid w:val="00986FB3"/>
    <w:rsid w:val="009915E2"/>
    <w:rsid w:val="00992301"/>
    <w:rsid w:val="009966BA"/>
    <w:rsid w:val="009A0D21"/>
    <w:rsid w:val="009A12FE"/>
    <w:rsid w:val="009A29B7"/>
    <w:rsid w:val="009A3FFE"/>
    <w:rsid w:val="009A4F2D"/>
    <w:rsid w:val="009A54FD"/>
    <w:rsid w:val="009A7AA5"/>
    <w:rsid w:val="009B09E8"/>
    <w:rsid w:val="009B3DF4"/>
    <w:rsid w:val="009B3ECD"/>
    <w:rsid w:val="009B61AF"/>
    <w:rsid w:val="009B6601"/>
    <w:rsid w:val="009B6B54"/>
    <w:rsid w:val="009B78D2"/>
    <w:rsid w:val="009C0EBB"/>
    <w:rsid w:val="009C2401"/>
    <w:rsid w:val="009C4099"/>
    <w:rsid w:val="009D2994"/>
    <w:rsid w:val="009D4C91"/>
    <w:rsid w:val="009D71FC"/>
    <w:rsid w:val="009E148F"/>
    <w:rsid w:val="009E5B76"/>
    <w:rsid w:val="009F5962"/>
    <w:rsid w:val="009F6187"/>
    <w:rsid w:val="00A01311"/>
    <w:rsid w:val="00A02D46"/>
    <w:rsid w:val="00A039F6"/>
    <w:rsid w:val="00A04691"/>
    <w:rsid w:val="00A0562C"/>
    <w:rsid w:val="00A128C4"/>
    <w:rsid w:val="00A162FC"/>
    <w:rsid w:val="00A17548"/>
    <w:rsid w:val="00A236CC"/>
    <w:rsid w:val="00A2386E"/>
    <w:rsid w:val="00A247F2"/>
    <w:rsid w:val="00A30723"/>
    <w:rsid w:val="00A30855"/>
    <w:rsid w:val="00A311F5"/>
    <w:rsid w:val="00A438B9"/>
    <w:rsid w:val="00A47249"/>
    <w:rsid w:val="00A52C65"/>
    <w:rsid w:val="00A544FB"/>
    <w:rsid w:val="00A572ED"/>
    <w:rsid w:val="00A57842"/>
    <w:rsid w:val="00A620C0"/>
    <w:rsid w:val="00A710C6"/>
    <w:rsid w:val="00A72DF8"/>
    <w:rsid w:val="00A76741"/>
    <w:rsid w:val="00A76D23"/>
    <w:rsid w:val="00A825DE"/>
    <w:rsid w:val="00A829D9"/>
    <w:rsid w:val="00A82FDC"/>
    <w:rsid w:val="00A86C49"/>
    <w:rsid w:val="00A92043"/>
    <w:rsid w:val="00A92573"/>
    <w:rsid w:val="00A93F1E"/>
    <w:rsid w:val="00A94C8A"/>
    <w:rsid w:val="00A95D49"/>
    <w:rsid w:val="00A96022"/>
    <w:rsid w:val="00AA1AFC"/>
    <w:rsid w:val="00AA25D8"/>
    <w:rsid w:val="00AA4581"/>
    <w:rsid w:val="00AA4CBB"/>
    <w:rsid w:val="00AA5E2D"/>
    <w:rsid w:val="00AB0E74"/>
    <w:rsid w:val="00AB1ECE"/>
    <w:rsid w:val="00AB1FC0"/>
    <w:rsid w:val="00AB5555"/>
    <w:rsid w:val="00AD0883"/>
    <w:rsid w:val="00AD23AD"/>
    <w:rsid w:val="00AD51F2"/>
    <w:rsid w:val="00AE0A47"/>
    <w:rsid w:val="00AE1210"/>
    <w:rsid w:val="00AE29A5"/>
    <w:rsid w:val="00AE2E58"/>
    <w:rsid w:val="00AE4271"/>
    <w:rsid w:val="00AF40A3"/>
    <w:rsid w:val="00AF57E5"/>
    <w:rsid w:val="00AF6D72"/>
    <w:rsid w:val="00AF7BA5"/>
    <w:rsid w:val="00B00C83"/>
    <w:rsid w:val="00B01343"/>
    <w:rsid w:val="00B04FA6"/>
    <w:rsid w:val="00B05503"/>
    <w:rsid w:val="00B05A66"/>
    <w:rsid w:val="00B06063"/>
    <w:rsid w:val="00B113CF"/>
    <w:rsid w:val="00B12023"/>
    <w:rsid w:val="00B16A3F"/>
    <w:rsid w:val="00B17764"/>
    <w:rsid w:val="00B2054B"/>
    <w:rsid w:val="00B20749"/>
    <w:rsid w:val="00B20E02"/>
    <w:rsid w:val="00B20F3B"/>
    <w:rsid w:val="00B21E0C"/>
    <w:rsid w:val="00B251F4"/>
    <w:rsid w:val="00B254C8"/>
    <w:rsid w:val="00B30E69"/>
    <w:rsid w:val="00B31214"/>
    <w:rsid w:val="00B33DAF"/>
    <w:rsid w:val="00B37E1F"/>
    <w:rsid w:val="00B40A0C"/>
    <w:rsid w:val="00B44375"/>
    <w:rsid w:val="00B44A43"/>
    <w:rsid w:val="00B45570"/>
    <w:rsid w:val="00B47FF6"/>
    <w:rsid w:val="00B5088C"/>
    <w:rsid w:val="00B53109"/>
    <w:rsid w:val="00B569CE"/>
    <w:rsid w:val="00B575B3"/>
    <w:rsid w:val="00B57FD0"/>
    <w:rsid w:val="00B64A5E"/>
    <w:rsid w:val="00B66F39"/>
    <w:rsid w:val="00B6786B"/>
    <w:rsid w:val="00B67A86"/>
    <w:rsid w:val="00B70AE6"/>
    <w:rsid w:val="00B72098"/>
    <w:rsid w:val="00B74A67"/>
    <w:rsid w:val="00B8117F"/>
    <w:rsid w:val="00B814B6"/>
    <w:rsid w:val="00B818CA"/>
    <w:rsid w:val="00B830A2"/>
    <w:rsid w:val="00B84D20"/>
    <w:rsid w:val="00B863BC"/>
    <w:rsid w:val="00B86617"/>
    <w:rsid w:val="00B86EC0"/>
    <w:rsid w:val="00B90054"/>
    <w:rsid w:val="00B92F24"/>
    <w:rsid w:val="00B97F37"/>
    <w:rsid w:val="00BA3193"/>
    <w:rsid w:val="00BA63E0"/>
    <w:rsid w:val="00BB3A31"/>
    <w:rsid w:val="00BB5CFB"/>
    <w:rsid w:val="00BB6ED0"/>
    <w:rsid w:val="00BC04DD"/>
    <w:rsid w:val="00BC04E5"/>
    <w:rsid w:val="00BC6685"/>
    <w:rsid w:val="00BD0792"/>
    <w:rsid w:val="00BD1667"/>
    <w:rsid w:val="00BD4835"/>
    <w:rsid w:val="00BD56A4"/>
    <w:rsid w:val="00BD7FE4"/>
    <w:rsid w:val="00BE1A5E"/>
    <w:rsid w:val="00BE1B6E"/>
    <w:rsid w:val="00BE2476"/>
    <w:rsid w:val="00BE2A28"/>
    <w:rsid w:val="00BE7E92"/>
    <w:rsid w:val="00BE7FD6"/>
    <w:rsid w:val="00BF08E8"/>
    <w:rsid w:val="00BF2C79"/>
    <w:rsid w:val="00BF69DD"/>
    <w:rsid w:val="00C00ACB"/>
    <w:rsid w:val="00C00DD2"/>
    <w:rsid w:val="00C048D9"/>
    <w:rsid w:val="00C1096A"/>
    <w:rsid w:val="00C10AE6"/>
    <w:rsid w:val="00C11FE1"/>
    <w:rsid w:val="00C14343"/>
    <w:rsid w:val="00C1737B"/>
    <w:rsid w:val="00C202DD"/>
    <w:rsid w:val="00C241AF"/>
    <w:rsid w:val="00C25CBB"/>
    <w:rsid w:val="00C26071"/>
    <w:rsid w:val="00C26514"/>
    <w:rsid w:val="00C275C7"/>
    <w:rsid w:val="00C31303"/>
    <w:rsid w:val="00C319E9"/>
    <w:rsid w:val="00C31A09"/>
    <w:rsid w:val="00C32864"/>
    <w:rsid w:val="00C3329F"/>
    <w:rsid w:val="00C3387E"/>
    <w:rsid w:val="00C33AB0"/>
    <w:rsid w:val="00C353A6"/>
    <w:rsid w:val="00C35C76"/>
    <w:rsid w:val="00C373BC"/>
    <w:rsid w:val="00C413B0"/>
    <w:rsid w:val="00C421C0"/>
    <w:rsid w:val="00C44B76"/>
    <w:rsid w:val="00C45552"/>
    <w:rsid w:val="00C46534"/>
    <w:rsid w:val="00C46FF4"/>
    <w:rsid w:val="00C50F22"/>
    <w:rsid w:val="00C530B5"/>
    <w:rsid w:val="00C53590"/>
    <w:rsid w:val="00C54508"/>
    <w:rsid w:val="00C547BC"/>
    <w:rsid w:val="00C55DCF"/>
    <w:rsid w:val="00C622C9"/>
    <w:rsid w:val="00C62C11"/>
    <w:rsid w:val="00C65832"/>
    <w:rsid w:val="00C66C18"/>
    <w:rsid w:val="00C67F26"/>
    <w:rsid w:val="00C67F77"/>
    <w:rsid w:val="00C714B7"/>
    <w:rsid w:val="00C72B50"/>
    <w:rsid w:val="00C737C1"/>
    <w:rsid w:val="00C7685B"/>
    <w:rsid w:val="00C77ABA"/>
    <w:rsid w:val="00C810FB"/>
    <w:rsid w:val="00C8430C"/>
    <w:rsid w:val="00C86D04"/>
    <w:rsid w:val="00C871E4"/>
    <w:rsid w:val="00C90061"/>
    <w:rsid w:val="00C9225F"/>
    <w:rsid w:val="00C938E1"/>
    <w:rsid w:val="00C95B0A"/>
    <w:rsid w:val="00C97637"/>
    <w:rsid w:val="00CA1615"/>
    <w:rsid w:val="00CA23B8"/>
    <w:rsid w:val="00CA3F87"/>
    <w:rsid w:val="00CA4AE6"/>
    <w:rsid w:val="00CA689B"/>
    <w:rsid w:val="00CB046F"/>
    <w:rsid w:val="00CB6596"/>
    <w:rsid w:val="00CB7007"/>
    <w:rsid w:val="00CB7689"/>
    <w:rsid w:val="00CB7AF0"/>
    <w:rsid w:val="00CC09AC"/>
    <w:rsid w:val="00CC3504"/>
    <w:rsid w:val="00CC3756"/>
    <w:rsid w:val="00CC53C3"/>
    <w:rsid w:val="00CC6825"/>
    <w:rsid w:val="00CC7455"/>
    <w:rsid w:val="00CC7BD0"/>
    <w:rsid w:val="00CD1654"/>
    <w:rsid w:val="00CD1D81"/>
    <w:rsid w:val="00CD592E"/>
    <w:rsid w:val="00CD5FDA"/>
    <w:rsid w:val="00CE0823"/>
    <w:rsid w:val="00CE10A6"/>
    <w:rsid w:val="00CE432E"/>
    <w:rsid w:val="00CE5131"/>
    <w:rsid w:val="00CE6086"/>
    <w:rsid w:val="00CE76DC"/>
    <w:rsid w:val="00CE7D83"/>
    <w:rsid w:val="00CF3408"/>
    <w:rsid w:val="00CF3532"/>
    <w:rsid w:val="00CF3AE4"/>
    <w:rsid w:val="00CF3C93"/>
    <w:rsid w:val="00CF56A6"/>
    <w:rsid w:val="00CF6D0E"/>
    <w:rsid w:val="00CF74FF"/>
    <w:rsid w:val="00D028E6"/>
    <w:rsid w:val="00D14DAC"/>
    <w:rsid w:val="00D15E04"/>
    <w:rsid w:val="00D2151D"/>
    <w:rsid w:val="00D25929"/>
    <w:rsid w:val="00D25FB7"/>
    <w:rsid w:val="00D33992"/>
    <w:rsid w:val="00D35039"/>
    <w:rsid w:val="00D35A91"/>
    <w:rsid w:val="00D37686"/>
    <w:rsid w:val="00D37A41"/>
    <w:rsid w:val="00D40CF6"/>
    <w:rsid w:val="00D410EB"/>
    <w:rsid w:val="00D41FD3"/>
    <w:rsid w:val="00D44C84"/>
    <w:rsid w:val="00D46000"/>
    <w:rsid w:val="00D46527"/>
    <w:rsid w:val="00D5108D"/>
    <w:rsid w:val="00D522F3"/>
    <w:rsid w:val="00D53DBA"/>
    <w:rsid w:val="00D5542F"/>
    <w:rsid w:val="00D5737F"/>
    <w:rsid w:val="00D6170D"/>
    <w:rsid w:val="00D657E0"/>
    <w:rsid w:val="00D6580F"/>
    <w:rsid w:val="00D6605D"/>
    <w:rsid w:val="00D70E29"/>
    <w:rsid w:val="00D718AF"/>
    <w:rsid w:val="00D72BA1"/>
    <w:rsid w:val="00D7380B"/>
    <w:rsid w:val="00D73AD5"/>
    <w:rsid w:val="00D73B26"/>
    <w:rsid w:val="00D76BE1"/>
    <w:rsid w:val="00D805DA"/>
    <w:rsid w:val="00D80D19"/>
    <w:rsid w:val="00D84A84"/>
    <w:rsid w:val="00D924B7"/>
    <w:rsid w:val="00D941B6"/>
    <w:rsid w:val="00D968BB"/>
    <w:rsid w:val="00D96EA6"/>
    <w:rsid w:val="00D97B71"/>
    <w:rsid w:val="00DA08D3"/>
    <w:rsid w:val="00DA0A8F"/>
    <w:rsid w:val="00DA0C19"/>
    <w:rsid w:val="00DA13C8"/>
    <w:rsid w:val="00DA20B0"/>
    <w:rsid w:val="00DA2D13"/>
    <w:rsid w:val="00DA32DA"/>
    <w:rsid w:val="00DA353E"/>
    <w:rsid w:val="00DA4076"/>
    <w:rsid w:val="00DA4CB0"/>
    <w:rsid w:val="00DA53EC"/>
    <w:rsid w:val="00DA71D8"/>
    <w:rsid w:val="00DA769D"/>
    <w:rsid w:val="00DB0D65"/>
    <w:rsid w:val="00DB7020"/>
    <w:rsid w:val="00DC3D0F"/>
    <w:rsid w:val="00DC4EE3"/>
    <w:rsid w:val="00DC7FC3"/>
    <w:rsid w:val="00DD0DFA"/>
    <w:rsid w:val="00DD2AB3"/>
    <w:rsid w:val="00DD3556"/>
    <w:rsid w:val="00DD47DF"/>
    <w:rsid w:val="00DE296D"/>
    <w:rsid w:val="00DE4D99"/>
    <w:rsid w:val="00DE5DBA"/>
    <w:rsid w:val="00DE6910"/>
    <w:rsid w:val="00DE6E27"/>
    <w:rsid w:val="00DF20BB"/>
    <w:rsid w:val="00DF683D"/>
    <w:rsid w:val="00E01201"/>
    <w:rsid w:val="00E031D6"/>
    <w:rsid w:val="00E05A04"/>
    <w:rsid w:val="00E079AA"/>
    <w:rsid w:val="00E13056"/>
    <w:rsid w:val="00E1748E"/>
    <w:rsid w:val="00E17B04"/>
    <w:rsid w:val="00E24387"/>
    <w:rsid w:val="00E27CC0"/>
    <w:rsid w:val="00E3015B"/>
    <w:rsid w:val="00E31728"/>
    <w:rsid w:val="00E32127"/>
    <w:rsid w:val="00E32F46"/>
    <w:rsid w:val="00E33052"/>
    <w:rsid w:val="00E34C3B"/>
    <w:rsid w:val="00E355F1"/>
    <w:rsid w:val="00E37818"/>
    <w:rsid w:val="00E37B39"/>
    <w:rsid w:val="00E46435"/>
    <w:rsid w:val="00E46C40"/>
    <w:rsid w:val="00E47A50"/>
    <w:rsid w:val="00E47F6D"/>
    <w:rsid w:val="00E50A15"/>
    <w:rsid w:val="00E5120C"/>
    <w:rsid w:val="00E513AB"/>
    <w:rsid w:val="00E54436"/>
    <w:rsid w:val="00E568FF"/>
    <w:rsid w:val="00E56F18"/>
    <w:rsid w:val="00E56F3C"/>
    <w:rsid w:val="00E57268"/>
    <w:rsid w:val="00E5759B"/>
    <w:rsid w:val="00E57752"/>
    <w:rsid w:val="00E633D2"/>
    <w:rsid w:val="00E66C14"/>
    <w:rsid w:val="00E732C6"/>
    <w:rsid w:val="00E819E9"/>
    <w:rsid w:val="00E81FEC"/>
    <w:rsid w:val="00E82CF1"/>
    <w:rsid w:val="00E83E9F"/>
    <w:rsid w:val="00E903DC"/>
    <w:rsid w:val="00E905D5"/>
    <w:rsid w:val="00E91E99"/>
    <w:rsid w:val="00E935F7"/>
    <w:rsid w:val="00E93A45"/>
    <w:rsid w:val="00E974A1"/>
    <w:rsid w:val="00EA05DD"/>
    <w:rsid w:val="00EA29E9"/>
    <w:rsid w:val="00EA300E"/>
    <w:rsid w:val="00EA3027"/>
    <w:rsid w:val="00EA38DC"/>
    <w:rsid w:val="00EA508E"/>
    <w:rsid w:val="00EA5153"/>
    <w:rsid w:val="00EA5564"/>
    <w:rsid w:val="00EA6EF7"/>
    <w:rsid w:val="00EB5320"/>
    <w:rsid w:val="00EB5942"/>
    <w:rsid w:val="00EB6827"/>
    <w:rsid w:val="00EB6AD8"/>
    <w:rsid w:val="00EB7C2E"/>
    <w:rsid w:val="00EC1D47"/>
    <w:rsid w:val="00EC614B"/>
    <w:rsid w:val="00EC79E7"/>
    <w:rsid w:val="00EC7F71"/>
    <w:rsid w:val="00ED2CDA"/>
    <w:rsid w:val="00ED4BC8"/>
    <w:rsid w:val="00ED4DBF"/>
    <w:rsid w:val="00ED6FAD"/>
    <w:rsid w:val="00ED7D67"/>
    <w:rsid w:val="00EE11A2"/>
    <w:rsid w:val="00EE2121"/>
    <w:rsid w:val="00EE3F9D"/>
    <w:rsid w:val="00EE6CCD"/>
    <w:rsid w:val="00EE76E4"/>
    <w:rsid w:val="00EF107A"/>
    <w:rsid w:val="00EF1A35"/>
    <w:rsid w:val="00EF25BE"/>
    <w:rsid w:val="00EF5126"/>
    <w:rsid w:val="00F0005E"/>
    <w:rsid w:val="00F01DB2"/>
    <w:rsid w:val="00F03AC6"/>
    <w:rsid w:val="00F040C4"/>
    <w:rsid w:val="00F06460"/>
    <w:rsid w:val="00F10796"/>
    <w:rsid w:val="00F10A7D"/>
    <w:rsid w:val="00F11C53"/>
    <w:rsid w:val="00F134DD"/>
    <w:rsid w:val="00F1606F"/>
    <w:rsid w:val="00F2006F"/>
    <w:rsid w:val="00F21E5F"/>
    <w:rsid w:val="00F22854"/>
    <w:rsid w:val="00F2578D"/>
    <w:rsid w:val="00F26929"/>
    <w:rsid w:val="00F275D3"/>
    <w:rsid w:val="00F27709"/>
    <w:rsid w:val="00F310FD"/>
    <w:rsid w:val="00F317ED"/>
    <w:rsid w:val="00F3323B"/>
    <w:rsid w:val="00F3387A"/>
    <w:rsid w:val="00F34324"/>
    <w:rsid w:val="00F40261"/>
    <w:rsid w:val="00F4154A"/>
    <w:rsid w:val="00F50B7E"/>
    <w:rsid w:val="00F5271F"/>
    <w:rsid w:val="00F530CE"/>
    <w:rsid w:val="00F5519A"/>
    <w:rsid w:val="00F55C1B"/>
    <w:rsid w:val="00F57BF1"/>
    <w:rsid w:val="00F60357"/>
    <w:rsid w:val="00F63465"/>
    <w:rsid w:val="00F63513"/>
    <w:rsid w:val="00F63B68"/>
    <w:rsid w:val="00F64BAE"/>
    <w:rsid w:val="00F65147"/>
    <w:rsid w:val="00F65BED"/>
    <w:rsid w:val="00F660B4"/>
    <w:rsid w:val="00F66B37"/>
    <w:rsid w:val="00F66D1E"/>
    <w:rsid w:val="00F70176"/>
    <w:rsid w:val="00F75A73"/>
    <w:rsid w:val="00F80ABD"/>
    <w:rsid w:val="00F80C4D"/>
    <w:rsid w:val="00F8364F"/>
    <w:rsid w:val="00F84C7E"/>
    <w:rsid w:val="00F920AD"/>
    <w:rsid w:val="00F939F3"/>
    <w:rsid w:val="00F97B3D"/>
    <w:rsid w:val="00FA0D16"/>
    <w:rsid w:val="00FA1F84"/>
    <w:rsid w:val="00FA495F"/>
    <w:rsid w:val="00FA5687"/>
    <w:rsid w:val="00FA63A9"/>
    <w:rsid w:val="00FA71F7"/>
    <w:rsid w:val="00FA76FE"/>
    <w:rsid w:val="00FA7DBC"/>
    <w:rsid w:val="00FC06CE"/>
    <w:rsid w:val="00FC3C5B"/>
    <w:rsid w:val="00FC4E5A"/>
    <w:rsid w:val="00FC5C8F"/>
    <w:rsid w:val="00FC76C5"/>
    <w:rsid w:val="00FD020A"/>
    <w:rsid w:val="00FD135E"/>
    <w:rsid w:val="00FD2ED9"/>
    <w:rsid w:val="00FD4108"/>
    <w:rsid w:val="00FD4453"/>
    <w:rsid w:val="00FD5657"/>
    <w:rsid w:val="00FD5896"/>
    <w:rsid w:val="00FD6AF6"/>
    <w:rsid w:val="00FE0A69"/>
    <w:rsid w:val="00FE0C52"/>
    <w:rsid w:val="00FE787D"/>
    <w:rsid w:val="00FE7A16"/>
    <w:rsid w:val="00FE7C7E"/>
    <w:rsid w:val="00FF2AAE"/>
    <w:rsid w:val="00FF3080"/>
    <w:rsid w:val="00FF3401"/>
    <w:rsid w:val="00FF3453"/>
    <w:rsid w:val="00FF503C"/>
    <w:rsid w:val="00FF5579"/>
    <w:rsid w:val="00FF630F"/>
    <w:rsid w:val="01086D83"/>
    <w:rsid w:val="012E7368"/>
    <w:rsid w:val="026701F4"/>
    <w:rsid w:val="03B86720"/>
    <w:rsid w:val="03D5452B"/>
    <w:rsid w:val="03F31506"/>
    <w:rsid w:val="0534693D"/>
    <w:rsid w:val="06306DA7"/>
    <w:rsid w:val="06694317"/>
    <w:rsid w:val="06E96724"/>
    <w:rsid w:val="07576D5B"/>
    <w:rsid w:val="07A6000F"/>
    <w:rsid w:val="07E46D4C"/>
    <w:rsid w:val="08761C81"/>
    <w:rsid w:val="08BF49B4"/>
    <w:rsid w:val="08DA5721"/>
    <w:rsid w:val="09246AFF"/>
    <w:rsid w:val="0A536FF8"/>
    <w:rsid w:val="0A687A64"/>
    <w:rsid w:val="0AA277E2"/>
    <w:rsid w:val="0AF62396"/>
    <w:rsid w:val="0B0417DB"/>
    <w:rsid w:val="0BF40511"/>
    <w:rsid w:val="0C3B1C9C"/>
    <w:rsid w:val="0D7336B7"/>
    <w:rsid w:val="0DCE488D"/>
    <w:rsid w:val="0E17399E"/>
    <w:rsid w:val="0E5554B8"/>
    <w:rsid w:val="0F737BCE"/>
    <w:rsid w:val="0F917E25"/>
    <w:rsid w:val="0FB40AA9"/>
    <w:rsid w:val="10C976BE"/>
    <w:rsid w:val="13203999"/>
    <w:rsid w:val="13D13F54"/>
    <w:rsid w:val="13F866C4"/>
    <w:rsid w:val="14363183"/>
    <w:rsid w:val="14755F67"/>
    <w:rsid w:val="14DD44F0"/>
    <w:rsid w:val="15B33927"/>
    <w:rsid w:val="164976AB"/>
    <w:rsid w:val="17451C21"/>
    <w:rsid w:val="19232435"/>
    <w:rsid w:val="199155F1"/>
    <w:rsid w:val="1AC970FB"/>
    <w:rsid w:val="1B642891"/>
    <w:rsid w:val="1B8A0AAA"/>
    <w:rsid w:val="1C166281"/>
    <w:rsid w:val="1C440A68"/>
    <w:rsid w:val="1C5174B0"/>
    <w:rsid w:val="1D6E79F7"/>
    <w:rsid w:val="1F150213"/>
    <w:rsid w:val="1F6612A7"/>
    <w:rsid w:val="1FDD6476"/>
    <w:rsid w:val="20137EEB"/>
    <w:rsid w:val="21C608A5"/>
    <w:rsid w:val="2248619B"/>
    <w:rsid w:val="245E4A8E"/>
    <w:rsid w:val="248F4E23"/>
    <w:rsid w:val="24A97EAB"/>
    <w:rsid w:val="24C70107"/>
    <w:rsid w:val="24DB70B2"/>
    <w:rsid w:val="259A3A7F"/>
    <w:rsid w:val="25B34B41"/>
    <w:rsid w:val="26D27249"/>
    <w:rsid w:val="26F969BD"/>
    <w:rsid w:val="27D95E44"/>
    <w:rsid w:val="2A42476E"/>
    <w:rsid w:val="2A5A1307"/>
    <w:rsid w:val="2A5C1D09"/>
    <w:rsid w:val="2AB05B22"/>
    <w:rsid w:val="2B75F755"/>
    <w:rsid w:val="2BCE7FDF"/>
    <w:rsid w:val="2C142745"/>
    <w:rsid w:val="2C6721E1"/>
    <w:rsid w:val="2CCD64E8"/>
    <w:rsid w:val="2D404F0C"/>
    <w:rsid w:val="2DB43204"/>
    <w:rsid w:val="2DD25022"/>
    <w:rsid w:val="2E514EF7"/>
    <w:rsid w:val="2E7F5FA9"/>
    <w:rsid w:val="2E827AAA"/>
    <w:rsid w:val="2ECFECB0"/>
    <w:rsid w:val="2EDB32D2"/>
    <w:rsid w:val="302723B3"/>
    <w:rsid w:val="309425B4"/>
    <w:rsid w:val="31D65E3F"/>
    <w:rsid w:val="31E778A8"/>
    <w:rsid w:val="31EF6B63"/>
    <w:rsid w:val="33E4002D"/>
    <w:rsid w:val="3511718E"/>
    <w:rsid w:val="35695487"/>
    <w:rsid w:val="35D07049"/>
    <w:rsid w:val="365F5795"/>
    <w:rsid w:val="366854D4"/>
    <w:rsid w:val="37A46A56"/>
    <w:rsid w:val="37DB44FC"/>
    <w:rsid w:val="388F04E2"/>
    <w:rsid w:val="3A6D30B9"/>
    <w:rsid w:val="3A8328DC"/>
    <w:rsid w:val="3C7D054C"/>
    <w:rsid w:val="3D954E00"/>
    <w:rsid w:val="3DC957C6"/>
    <w:rsid w:val="3E7F9A9F"/>
    <w:rsid w:val="3F3240FC"/>
    <w:rsid w:val="3FF31753"/>
    <w:rsid w:val="401069C0"/>
    <w:rsid w:val="406A1A6D"/>
    <w:rsid w:val="40C63523"/>
    <w:rsid w:val="40D20119"/>
    <w:rsid w:val="426F4C9F"/>
    <w:rsid w:val="43E758A1"/>
    <w:rsid w:val="46EB05FB"/>
    <w:rsid w:val="4772222C"/>
    <w:rsid w:val="47B75973"/>
    <w:rsid w:val="48664E10"/>
    <w:rsid w:val="48C7608A"/>
    <w:rsid w:val="493C6A78"/>
    <w:rsid w:val="4B9366F7"/>
    <w:rsid w:val="4D25514D"/>
    <w:rsid w:val="4E6C5709"/>
    <w:rsid w:val="4E97CB1E"/>
    <w:rsid w:val="4F080661"/>
    <w:rsid w:val="4F3925A7"/>
    <w:rsid w:val="4F3D2C02"/>
    <w:rsid w:val="4F5669C2"/>
    <w:rsid w:val="503D5F8F"/>
    <w:rsid w:val="50DA4F36"/>
    <w:rsid w:val="512D02AE"/>
    <w:rsid w:val="51DD691E"/>
    <w:rsid w:val="525B587A"/>
    <w:rsid w:val="52DE294E"/>
    <w:rsid w:val="53002464"/>
    <w:rsid w:val="53746E0E"/>
    <w:rsid w:val="54414F42"/>
    <w:rsid w:val="54F075AD"/>
    <w:rsid w:val="54FD35AB"/>
    <w:rsid w:val="555869E7"/>
    <w:rsid w:val="559D0FE5"/>
    <w:rsid w:val="55FFE46F"/>
    <w:rsid w:val="560A3B83"/>
    <w:rsid w:val="56512954"/>
    <w:rsid w:val="583875E5"/>
    <w:rsid w:val="58C02F09"/>
    <w:rsid w:val="59262959"/>
    <w:rsid w:val="59A23706"/>
    <w:rsid w:val="5B200D76"/>
    <w:rsid w:val="5BFF5274"/>
    <w:rsid w:val="5D0165D7"/>
    <w:rsid w:val="5D69550A"/>
    <w:rsid w:val="5DEF1EB3"/>
    <w:rsid w:val="5E993CB7"/>
    <w:rsid w:val="5EE4753E"/>
    <w:rsid w:val="5F5A335C"/>
    <w:rsid w:val="5F771A7E"/>
    <w:rsid w:val="5FEB80A7"/>
    <w:rsid w:val="5FFA6BC6"/>
    <w:rsid w:val="5FFD9EEB"/>
    <w:rsid w:val="60067040"/>
    <w:rsid w:val="604A2A33"/>
    <w:rsid w:val="60793CB6"/>
    <w:rsid w:val="60D333C6"/>
    <w:rsid w:val="6129024D"/>
    <w:rsid w:val="622A1B4D"/>
    <w:rsid w:val="62745A6B"/>
    <w:rsid w:val="627D3338"/>
    <w:rsid w:val="63506F50"/>
    <w:rsid w:val="64774975"/>
    <w:rsid w:val="652341F0"/>
    <w:rsid w:val="65402FF4"/>
    <w:rsid w:val="65586590"/>
    <w:rsid w:val="65FC6F1B"/>
    <w:rsid w:val="668B64F1"/>
    <w:rsid w:val="69A91168"/>
    <w:rsid w:val="6B7FA308"/>
    <w:rsid w:val="6BF14550"/>
    <w:rsid w:val="6CC87B57"/>
    <w:rsid w:val="6CF7668E"/>
    <w:rsid w:val="6D5E2269"/>
    <w:rsid w:val="6D9E4D5C"/>
    <w:rsid w:val="6DE85FD7"/>
    <w:rsid w:val="6E605089"/>
    <w:rsid w:val="6F6B6EC0"/>
    <w:rsid w:val="70070C3B"/>
    <w:rsid w:val="70180DF5"/>
    <w:rsid w:val="703B797B"/>
    <w:rsid w:val="70411CD8"/>
    <w:rsid w:val="70D54F38"/>
    <w:rsid w:val="70DF36C1"/>
    <w:rsid w:val="721E779D"/>
    <w:rsid w:val="723E37DC"/>
    <w:rsid w:val="725B321B"/>
    <w:rsid w:val="73327F24"/>
    <w:rsid w:val="735859AD"/>
    <w:rsid w:val="747D7C4D"/>
    <w:rsid w:val="74E16458"/>
    <w:rsid w:val="75501031"/>
    <w:rsid w:val="755F2F0C"/>
    <w:rsid w:val="755F390B"/>
    <w:rsid w:val="758D12CA"/>
    <w:rsid w:val="75946713"/>
    <w:rsid w:val="76645F0C"/>
    <w:rsid w:val="777F1282"/>
    <w:rsid w:val="77EE14F3"/>
    <w:rsid w:val="77FFF003"/>
    <w:rsid w:val="78B236CA"/>
    <w:rsid w:val="78F30B46"/>
    <w:rsid w:val="792D7E94"/>
    <w:rsid w:val="7A067F11"/>
    <w:rsid w:val="7A434CB8"/>
    <w:rsid w:val="7A4F7B0A"/>
    <w:rsid w:val="7A5122F9"/>
    <w:rsid w:val="7A6A7251"/>
    <w:rsid w:val="7C4A56EE"/>
    <w:rsid w:val="7CFC5A48"/>
    <w:rsid w:val="7D133397"/>
    <w:rsid w:val="7DA5CC8A"/>
    <w:rsid w:val="7DEF30B6"/>
    <w:rsid w:val="7EBDCDA2"/>
    <w:rsid w:val="7F7EA3B7"/>
    <w:rsid w:val="7FBE2FE0"/>
    <w:rsid w:val="7FCE154F"/>
    <w:rsid w:val="7FFF43E8"/>
    <w:rsid w:val="B3EB6578"/>
    <w:rsid w:val="BEFECA9F"/>
    <w:rsid w:val="BFEB1827"/>
    <w:rsid w:val="D7FFD4CC"/>
    <w:rsid w:val="D8283BFD"/>
    <w:rsid w:val="DF9D4D12"/>
    <w:rsid w:val="E772D5AE"/>
    <w:rsid w:val="EBDBF0DE"/>
    <w:rsid w:val="EEBF0988"/>
    <w:rsid w:val="EFFD3B4A"/>
    <w:rsid w:val="F67F4C94"/>
    <w:rsid w:val="F7FB6120"/>
    <w:rsid w:val="F8EB6DC2"/>
    <w:rsid w:val="FBBED804"/>
    <w:rsid w:val="FCF3B0FD"/>
    <w:rsid w:val="FDBF032D"/>
    <w:rsid w:val="FEA5866B"/>
    <w:rsid w:val="FEFFCB1F"/>
    <w:rsid w:val="FF09E562"/>
    <w:rsid w:val="FFDFE7A8"/>
    <w:rsid w:val="FFE15CAE"/>
    <w:rsid w:val="FFEBFD7C"/>
    <w:rsid w:val="FFFF872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qFormat/>
    <w:uiPriority w:val="0"/>
    <w:pPr>
      <w:widowControl w:val="0"/>
      <w:adjustRightInd w:val="0"/>
      <w:snapToGrid w:val="0"/>
      <w:spacing w:before="120" w:after="120" w:line="276" w:lineRule="auto"/>
      <w:jc w:val="center"/>
    </w:pPr>
    <w:rPr>
      <w:rFonts w:ascii="Arial" w:hAnsi="Arial" w:eastAsia="宋体" w:cs="Arial"/>
      <w:bCs/>
      <w:spacing w:val="20"/>
      <w:kern w:val="2"/>
      <w:sz w:val="21"/>
      <w:szCs w:val="24"/>
      <w:lang w:val="en-US" w:eastAsia="zh-CN" w:bidi="ar-SA"/>
    </w:rPr>
  </w:style>
  <w:style w:type="paragraph" w:styleId="5">
    <w:name w:val="annotation text"/>
    <w:basedOn w:val="1"/>
    <w:link w:val="22"/>
    <w:semiHidden/>
    <w:qFormat/>
    <w:uiPriority w:val="0"/>
    <w:pPr>
      <w:jc w:val="left"/>
    </w:pPr>
  </w:style>
  <w:style w:type="paragraph" w:styleId="6">
    <w:name w:val="toc 3"/>
    <w:basedOn w:val="1"/>
    <w:next w:val="1"/>
    <w:qFormat/>
    <w:locked/>
    <w:uiPriority w:val="0"/>
    <w:pPr>
      <w:numPr>
        <w:ilvl w:val="2"/>
        <w:numId w:val="1"/>
      </w:numPr>
      <w:spacing w:line="500" w:lineRule="exact"/>
      <w:ind w:firstLine="200" w:firstLineChars="200"/>
    </w:pPr>
    <w:rPr>
      <w:sz w:val="28"/>
      <w:szCs w:val="28"/>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3"/>
    <w:next w:val="1"/>
    <w:qFormat/>
    <w:locked/>
    <w:uiPriority w:val="39"/>
    <w:pPr>
      <w:numPr>
        <w:ilvl w:val="0"/>
        <w:numId w:val="1"/>
      </w:numPr>
      <w:spacing w:before="0" w:after="0" w:line="500" w:lineRule="exact"/>
      <w:ind w:left="0" w:firstLine="562" w:firstLineChars="200"/>
    </w:pPr>
    <w:rPr>
      <w:sz w:val="28"/>
      <w:szCs w:val="28"/>
    </w:rPr>
  </w:style>
  <w:style w:type="paragraph" w:styleId="11">
    <w:name w:val="toc 4"/>
    <w:basedOn w:val="1"/>
    <w:next w:val="1"/>
    <w:qFormat/>
    <w:locked/>
    <w:uiPriority w:val="0"/>
    <w:pPr>
      <w:numPr>
        <w:ilvl w:val="3"/>
        <w:numId w:val="1"/>
      </w:numPr>
      <w:spacing w:line="500" w:lineRule="exact"/>
      <w:ind w:firstLine="510"/>
    </w:pPr>
    <w:rPr>
      <w:sz w:val="28"/>
      <w:szCs w:val="28"/>
    </w:rPr>
  </w:style>
  <w:style w:type="paragraph" w:styleId="12">
    <w:name w:val="toc 2"/>
    <w:basedOn w:val="1"/>
    <w:next w:val="1"/>
    <w:qFormat/>
    <w:locked/>
    <w:uiPriority w:val="0"/>
    <w:pPr>
      <w:numPr>
        <w:ilvl w:val="1"/>
        <w:numId w:val="1"/>
      </w:numPr>
      <w:spacing w:line="500" w:lineRule="exact"/>
      <w:ind w:left="0" w:firstLine="560" w:firstLineChars="200"/>
    </w:pPr>
    <w:rPr>
      <w:sz w:val="28"/>
      <w:szCs w:val="28"/>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5"/>
    <w:next w:val="5"/>
    <w:semiHidden/>
    <w:qFormat/>
    <w:uiPriority w:val="0"/>
    <w:rPr>
      <w:b/>
      <w:bCs/>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semiHidden/>
    <w:qFormat/>
    <w:uiPriority w:val="0"/>
    <w:rPr>
      <w:sz w:val="21"/>
      <w:szCs w:val="21"/>
    </w:rPr>
  </w:style>
  <w:style w:type="character" w:customStyle="1" w:styleId="21">
    <w:name w:val="标题 1 Char"/>
    <w:basedOn w:val="17"/>
    <w:link w:val="3"/>
    <w:qFormat/>
    <w:uiPriority w:val="0"/>
    <w:rPr>
      <w:b/>
      <w:bCs/>
      <w:kern w:val="44"/>
      <w:sz w:val="44"/>
      <w:szCs w:val="44"/>
    </w:rPr>
  </w:style>
  <w:style w:type="character" w:customStyle="1" w:styleId="22">
    <w:name w:val="批注文字 Char"/>
    <w:link w:val="5"/>
    <w:semiHidden/>
    <w:qFormat/>
    <w:uiPriority w:val="0"/>
    <w:rPr>
      <w:kern w:val="2"/>
      <w:sz w:val="21"/>
      <w:szCs w:val="24"/>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paragraph" w:customStyle="1" w:styleId="25">
    <w:name w:val="合同条款1"/>
    <w:basedOn w:val="3"/>
    <w:qFormat/>
    <w:uiPriority w:val="0"/>
    <w:pPr>
      <w:spacing w:before="0" w:after="0" w:line="240" w:lineRule="auto"/>
      <w:ind w:left="397"/>
    </w:pPr>
    <w:rPr>
      <w:sz w:val="28"/>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合同正文样式1"/>
    <w:basedOn w:val="12"/>
    <w:qFormat/>
    <w:uiPriority w:val="0"/>
    <w:pPr>
      <w:numPr>
        <w:ilvl w:val="0"/>
        <w:numId w:val="0"/>
      </w:numPr>
      <w:ind w:firstLine="560" w:firstLineChars="200"/>
    </w:pPr>
  </w:style>
  <w:style w:type="paragraph" w:customStyle="1" w:styleId="28">
    <w:name w:val="正文首行2字符"/>
    <w:basedOn w:val="1"/>
    <w:qFormat/>
    <w:uiPriority w:val="0"/>
    <w:pPr>
      <w:spacing w:line="500" w:lineRule="exact"/>
      <w:ind w:firstLine="560" w:firstLineChars="200"/>
    </w:pPr>
    <w:rPr>
      <w:sz w:val="28"/>
      <w:szCs w:val="28"/>
    </w:rPr>
  </w:style>
  <w:style w:type="paragraph" w:customStyle="1" w:styleId="29">
    <w:name w:val="合同表格"/>
    <w:basedOn w:val="1"/>
    <w:qFormat/>
    <w:uiPriority w:val="0"/>
    <w:pPr>
      <w:spacing w:line="500" w:lineRule="exact"/>
    </w:pPr>
    <w:rPr>
      <w:sz w:val="24"/>
      <w:szCs w:val="28"/>
    </w:rPr>
  </w:style>
  <w:style w:type="paragraph" w:customStyle="1" w:styleId="30">
    <w:name w:val="第一条"/>
    <w:basedOn w:val="10"/>
    <w:qFormat/>
    <w:uiPriority w:val="0"/>
    <w:pPr>
      <w:keepNext w:val="0"/>
      <w:keepLines w:val="0"/>
      <w:numPr>
        <w:numId w:val="2"/>
      </w:numPr>
      <w:tabs>
        <w:tab w:val="left" w:pos="360"/>
        <w:tab w:val="right" w:leader="dot" w:pos="8296"/>
      </w:tabs>
      <w:spacing w:line="520" w:lineRule="exact"/>
      <w:ind w:firstLine="200"/>
    </w:pPr>
    <w:rPr>
      <w:rFonts w:eastAsia="黑体" w:cstheme="minorBidi"/>
      <w:b w:val="0"/>
      <w:bCs w:val="0"/>
      <w:kern w:val="2"/>
      <w:szCs w:val="22"/>
    </w:rPr>
  </w:style>
  <w:style w:type="paragraph" w:customStyle="1" w:styleId="31">
    <w:name w:val="第1.1条"/>
    <w:basedOn w:val="12"/>
    <w:qFormat/>
    <w:uiPriority w:val="0"/>
    <w:pPr>
      <w:numPr>
        <w:numId w:val="2"/>
      </w:numPr>
      <w:tabs>
        <w:tab w:val="left" w:pos="360"/>
      </w:tabs>
      <w:spacing w:line="520" w:lineRule="exact"/>
      <w:ind w:left="420"/>
      <w:outlineLvl w:val="1"/>
    </w:pPr>
    <w:rPr>
      <w:rFonts w:eastAsia="仿宋_GB2312" w:cs="宋体"/>
    </w:rPr>
  </w:style>
  <w:style w:type="paragraph" w:customStyle="1" w:styleId="32">
    <w:name w:val="第1.1.1.条"/>
    <w:basedOn w:val="31"/>
    <w:qFormat/>
    <w:uiPriority w:val="0"/>
    <w:pPr>
      <w:numPr>
        <w:ilvl w:val="2"/>
      </w:numPr>
      <w:ind w:left="0" w:firstLine="200"/>
      <w:outlineLvl w:val="2"/>
    </w:p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9246</Words>
  <Characters>9371</Characters>
  <Lines>72</Lines>
  <Paragraphs>20</Paragraphs>
  <TotalTime>41</TotalTime>
  <ScaleCrop>false</ScaleCrop>
  <LinksUpToDate>false</LinksUpToDate>
  <CharactersWithSpaces>9584</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2023-12-01T15:08:00Z</dcterms:created>
  <dc:creator>YE</dc:creator>
  <cp:lastModifiedBy>user</cp:lastModifiedBy>
  <cp:lastPrinted>2025-06-12T10:41:00Z</cp:lastPrinted>
  <dcterms:modified xsi:type="dcterms:W3CDTF">2026-04-24T09:12:59Z</dcterms:modified>
  <dc:title>南宁国际会展中心房屋租赁合同书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_DocHome">
    <vt:i4>397902087</vt:i4>
  </property>
  <property fmtid="{D5CDD505-2E9C-101B-9397-08002B2CF9AE}" pid="4" name="ICV">
    <vt:lpwstr>6BB3AE55117745DD9E0F545A1C9207EE_13</vt:lpwstr>
  </property>
  <property fmtid="{D5CDD505-2E9C-101B-9397-08002B2CF9AE}" pid="5" name="KSOTemplateDocerSaveRecord">
    <vt:lpwstr>eyJoZGlkIjoiZjdiMmRlZDc5YTNhYjFiYWFlMDEzMmFmNGE5NWNlOWUiLCJ1c2VySWQiOiI4MTA4ODM3ODUifQ==</vt:lpwstr>
  </property>
</Properties>
</file>